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01EF0113" w:rsidR="005E7DDA" w:rsidRDefault="00C81926" w:rsidP="00C81926">
      <w:pPr>
        <w:pStyle w:val="Title"/>
      </w:pPr>
      <w:r>
        <w:t xml:space="preserve">Departmental Guidelines for Promotion &amp; Tenure: </w:t>
      </w:r>
      <w:r w:rsidR="00B97C16">
        <w:t>Mathematics</w:t>
      </w:r>
    </w:p>
    <w:p w14:paraId="7E6AC086" w14:textId="04B497FD" w:rsidR="00C81926" w:rsidRDefault="00A7430E" w:rsidP="00C81926">
      <w:r>
        <w:t xml:space="preserve">This document will </w:t>
      </w:r>
      <w:r w:rsidR="00C4039D">
        <w:t xml:space="preserve">detail guidelines for candidates applying for promotion and/or tenure at the University of Mary Washington in the </w:t>
      </w:r>
      <w:r w:rsidR="00B97C16">
        <w:t>Mathematics</w:t>
      </w:r>
      <w:r w:rsidR="00C4039D">
        <w:t xml:space="preserve"> Department</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6736378C"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 xml:space="preserve">hese guidelines were approved by the University Faculty Affairs Committee on </w:t>
      </w:r>
      <w:r w:rsidR="00FE662D">
        <w:t>3/23/26.</w:t>
      </w:r>
    </w:p>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201EE603" w14:textId="73AB2426" w:rsidR="003B5426" w:rsidRDefault="003B5426" w:rsidP="003B5426">
      <w:pPr>
        <w:pStyle w:val="Caption"/>
        <w:keepNext/>
      </w:pPr>
      <w:r>
        <w:t xml:space="preserve">Table </w:t>
      </w:r>
      <w:fldSimple w:instr=" SEQ Table \* ARABIC ">
        <w:r w:rsidR="00360846">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w:t>
            </w:r>
            <w:r w:rsidRPr="002F5B27">
              <w:lastRenderedPageBreak/>
              <w:t>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1BE53976" w14:textId="3E3B35B6" w:rsidR="004D095C" w:rsidRPr="008F3862" w:rsidRDefault="004D095C" w:rsidP="004D095C">
            <w:pPr>
              <w:pStyle w:val="NormalWeb"/>
              <w:spacing w:before="240" w:after="0"/>
              <w:rPr>
                <w:rFonts w:asciiTheme="minorHAnsi" w:eastAsiaTheme="minorHAnsi" w:hAnsiTheme="minorHAnsi" w:cstheme="minorBidi"/>
                <w:kern w:val="2"/>
                <w14:ligatures w14:val="standardContextual"/>
              </w:rPr>
            </w:pPr>
            <w:r w:rsidRPr="008F3862">
              <w:rPr>
                <w:rFonts w:asciiTheme="minorHAnsi" w:eastAsiaTheme="minorHAnsi" w:hAnsiTheme="minorHAnsi" w:cstheme="minorBidi"/>
                <w:kern w:val="2"/>
                <w14:ligatures w14:val="standardContextual"/>
              </w:rPr>
              <w:lastRenderedPageBreak/>
              <w:t xml:space="preserve">Candidates may show a pattern of effective and innovative teaching </w:t>
            </w:r>
            <w:r w:rsidR="00D35098" w:rsidRPr="008F3862">
              <w:rPr>
                <w:rFonts w:asciiTheme="minorHAnsi" w:eastAsiaTheme="minorHAnsi" w:hAnsiTheme="minorHAnsi" w:cstheme="minorBidi"/>
                <w:kern w:val="2"/>
                <w14:ligatures w14:val="standardContextual"/>
              </w:rPr>
              <w:t xml:space="preserve">through </w:t>
            </w:r>
            <w:r w:rsidR="00D35098" w:rsidRPr="00771551">
              <w:rPr>
                <w:rFonts w:asciiTheme="minorHAnsi" w:eastAsiaTheme="minorHAnsi" w:hAnsiTheme="minorHAnsi" w:cstheme="minorBidi"/>
                <w:kern w:val="2"/>
                <w14:ligatures w14:val="standardContextual"/>
              </w:rPr>
              <w:t>any</w:t>
            </w:r>
            <w:r w:rsidR="00D35098" w:rsidRPr="008F3862">
              <w:rPr>
                <w:rFonts w:asciiTheme="minorHAnsi" w:eastAsiaTheme="minorHAnsi" w:hAnsiTheme="minorHAnsi" w:cstheme="minorBidi"/>
                <w:kern w:val="2"/>
                <w14:ligatures w14:val="standardContextual"/>
              </w:rPr>
              <w:t xml:space="preserve"> of the following</w:t>
            </w:r>
            <w:r w:rsidRPr="008F3862">
              <w:rPr>
                <w:rFonts w:asciiTheme="minorHAnsi" w:eastAsiaTheme="minorHAnsi" w:hAnsiTheme="minorHAnsi" w:cstheme="minorBidi"/>
                <w:kern w:val="2"/>
                <w14:ligatures w14:val="standardContextual"/>
              </w:rPr>
              <w:t>: demonstrating use of innovative teaching techniques in the classroom; reflection on the impact of these techniques to the class/students; showing effort to improve teaching in ways that benefit students; teaching major</w:t>
            </w:r>
            <w:r w:rsidR="00FE4D5B">
              <w:rPr>
                <w:rFonts w:asciiTheme="minorHAnsi" w:eastAsiaTheme="minorHAnsi" w:hAnsiTheme="minorHAnsi" w:cstheme="minorBidi"/>
                <w:kern w:val="2"/>
                <w14:ligatures w14:val="standardContextual"/>
              </w:rPr>
              <w:t xml:space="preserve"> courses</w:t>
            </w:r>
            <w:r w:rsidRPr="008F3862">
              <w:rPr>
                <w:rFonts w:asciiTheme="minorHAnsi" w:eastAsiaTheme="minorHAnsi" w:hAnsiTheme="minorHAnsi" w:cstheme="minorBidi"/>
                <w:kern w:val="2"/>
                <w14:ligatures w14:val="standardContextual"/>
              </w:rPr>
              <w:t>, elective</w:t>
            </w:r>
            <w:r w:rsidR="00FE4D5B">
              <w:rPr>
                <w:rFonts w:asciiTheme="minorHAnsi" w:eastAsiaTheme="minorHAnsi" w:hAnsiTheme="minorHAnsi" w:cstheme="minorBidi"/>
                <w:kern w:val="2"/>
                <w14:ligatures w14:val="standardContextual"/>
              </w:rPr>
              <w:t xml:space="preserve"> courses</w:t>
            </w:r>
            <w:r w:rsidRPr="008F3862">
              <w:rPr>
                <w:rFonts w:asciiTheme="minorHAnsi" w:eastAsiaTheme="minorHAnsi" w:hAnsiTheme="minorHAnsi" w:cstheme="minorBidi"/>
                <w:kern w:val="2"/>
                <w14:ligatures w14:val="standardContextual"/>
              </w:rPr>
              <w:t>, general education courses</w:t>
            </w:r>
            <w:r w:rsidR="00FE4D5B">
              <w:rPr>
                <w:rFonts w:asciiTheme="minorHAnsi" w:eastAsiaTheme="minorHAnsi" w:hAnsiTheme="minorHAnsi" w:cstheme="minorBidi"/>
                <w:kern w:val="2"/>
                <w14:ligatures w14:val="standardContextual"/>
              </w:rPr>
              <w:t>,</w:t>
            </w:r>
            <w:r w:rsidRPr="008F3862">
              <w:rPr>
                <w:rFonts w:asciiTheme="minorHAnsi" w:eastAsiaTheme="minorHAnsi" w:hAnsiTheme="minorHAnsi" w:cstheme="minorBidi"/>
                <w:kern w:val="2"/>
                <w14:ligatures w14:val="standardContextual"/>
              </w:rPr>
              <w:t xml:space="preserve"> and/or courses with across the curriculum designations; exhibiting reflection on student course evaluations and peer reviews of class visits, and making relevant changes based on this feedback when appropriate</w:t>
            </w:r>
            <w:r w:rsidR="009A187B">
              <w:rPr>
                <w:rFonts w:asciiTheme="minorHAnsi" w:eastAsiaTheme="minorHAnsi" w:hAnsiTheme="minorHAnsi" w:cstheme="minorBidi"/>
                <w:kern w:val="2"/>
                <w14:ligatures w14:val="standardContextual"/>
              </w:rPr>
              <w:t>; developing, or significantly contributing to the development of new courses or programs.</w:t>
            </w:r>
          </w:p>
          <w:p w14:paraId="336A405E" w14:textId="77777777" w:rsidR="00B1642C" w:rsidRDefault="00B1642C" w:rsidP="00BE73B8"/>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5F3DAFB9" w14:textId="601862D4" w:rsidR="003B5426" w:rsidRDefault="003B5426" w:rsidP="003B5426">
      <w:pPr>
        <w:pStyle w:val="Caption"/>
        <w:keepNext/>
      </w:pPr>
      <w:r>
        <w:t xml:space="preserve">Table </w:t>
      </w:r>
      <w:fldSimple w:instr=" SEQ Table \* ARABIC ">
        <w:r w:rsidR="00360846">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w:t>
            </w:r>
            <w:r w:rsidRPr="00C40CF1">
              <w:lastRenderedPageBreak/>
              <w:t>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DD9BEE9" w14:textId="4E8A1CE9" w:rsidR="004D095C" w:rsidRPr="00E0783E" w:rsidRDefault="004D095C" w:rsidP="004D095C">
            <w:pPr>
              <w:pStyle w:val="NormalWeb"/>
              <w:spacing w:before="240" w:after="0"/>
              <w:rPr>
                <w:rFonts w:asciiTheme="minorHAnsi" w:eastAsiaTheme="minorHAnsi" w:hAnsiTheme="minorHAnsi" w:cstheme="minorBidi"/>
                <w:kern w:val="2"/>
                <w14:ligatures w14:val="standardContextual"/>
              </w:rPr>
            </w:pPr>
            <w:r w:rsidRPr="00E0783E">
              <w:rPr>
                <w:rFonts w:asciiTheme="minorHAnsi" w:eastAsiaTheme="minorHAnsi" w:hAnsiTheme="minorHAnsi" w:cstheme="minorBidi"/>
                <w:kern w:val="2"/>
                <w14:ligatures w14:val="standardContextual"/>
              </w:rPr>
              <w:lastRenderedPageBreak/>
              <w:t>Candidates will show effort in improving teaching and participating actively in the discipline through activities that</w:t>
            </w:r>
            <w:r w:rsidR="00E0783E">
              <w:rPr>
                <w:rFonts w:asciiTheme="minorHAnsi" w:eastAsiaTheme="minorHAnsi" w:hAnsiTheme="minorHAnsi" w:cstheme="minorBidi"/>
                <w:kern w:val="2"/>
                <w14:ligatures w14:val="standardContextual"/>
              </w:rPr>
              <w:t xml:space="preserve"> </w:t>
            </w:r>
            <w:r w:rsidR="00E0783E" w:rsidRPr="007B0E97">
              <w:rPr>
                <w:rFonts w:asciiTheme="minorHAnsi" w:eastAsiaTheme="minorHAnsi" w:hAnsiTheme="minorHAnsi" w:cstheme="minorBidi"/>
                <w:kern w:val="2"/>
                <w14:ligatures w14:val="standardContextual"/>
              </w:rPr>
              <w:t>may</w:t>
            </w:r>
            <w:r w:rsidRPr="00E0783E">
              <w:rPr>
                <w:rFonts w:asciiTheme="minorHAnsi" w:eastAsiaTheme="minorHAnsi" w:hAnsiTheme="minorHAnsi" w:cstheme="minorBidi"/>
                <w:kern w:val="2"/>
                <w14:ligatures w14:val="standardContextual"/>
              </w:rPr>
              <w:t xml:space="preserve"> include: participating in teaching development or research workshops or conferences, on- or off-campus; giving contributed </w:t>
            </w:r>
            <w:r w:rsidR="00E0783E">
              <w:rPr>
                <w:rFonts w:asciiTheme="minorHAnsi" w:eastAsiaTheme="minorHAnsi" w:hAnsiTheme="minorHAnsi" w:cstheme="minorBidi"/>
                <w:kern w:val="2"/>
                <w14:ligatures w14:val="standardContextual"/>
              </w:rPr>
              <w:t xml:space="preserve">or invited </w:t>
            </w:r>
            <w:r w:rsidRPr="00E0783E">
              <w:rPr>
                <w:rFonts w:asciiTheme="minorHAnsi" w:eastAsiaTheme="minorHAnsi" w:hAnsiTheme="minorHAnsi" w:cstheme="minorBidi"/>
                <w:kern w:val="2"/>
                <w14:ligatures w14:val="standardContextual"/>
              </w:rPr>
              <w:t>talks at regional or national conferences, related to mathematics or pedagogy; organizing or facilitating a special session at a conference; having research published or accepted for publication in reputable peer-reviewed mathematics, interdisciplinary, or pedagogical journals; demonstrating active membership in a mathematics society or organization; holding a leadership position within a professional society or organization.</w:t>
            </w:r>
          </w:p>
          <w:p w14:paraId="333938D7" w14:textId="77777777" w:rsidR="001D4569" w:rsidRDefault="001D4569"/>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39A47CB0" w14:textId="1F6B4289" w:rsidR="003B5426" w:rsidRDefault="003B5426" w:rsidP="003B5426">
      <w:pPr>
        <w:pStyle w:val="Caption"/>
        <w:keepNext/>
      </w:pPr>
      <w:r>
        <w:t xml:space="preserve">Table </w:t>
      </w:r>
      <w:fldSimple w:instr=" SEQ Table \* ARABIC ">
        <w:r w:rsidR="00360846">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4CD93D45">
        <w:tc>
          <w:tcPr>
            <w:tcW w:w="4675" w:type="dxa"/>
          </w:tcPr>
          <w:p w14:paraId="4D0127EB" w14:textId="7B09A55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40652E80" w14:textId="5B86BB24" w:rsidR="007F04C2" w:rsidRDefault="004D095C">
            <w:r w:rsidRPr="001676AE">
              <w:t>Candidates will show a record of service through contributions to department, College, and/or University initiatives.</w:t>
            </w:r>
            <w:r w:rsidR="001676AE">
              <w:t xml:space="preserve"> </w:t>
            </w:r>
            <w:r w:rsidRPr="001676AE">
              <w:t xml:space="preserve">Candidates may demonstrate contributions </w:t>
            </w:r>
            <w:proofErr w:type="gramStart"/>
            <w:r w:rsidRPr="001676AE">
              <w:t>through:</w:t>
            </w:r>
            <w:proofErr w:type="gramEnd"/>
            <w:r w:rsidRPr="001676AE">
              <w:t xml:space="preserve"> consistent advising of major and/or first-year students; holding a departmental service position; promoting and advertising our programs by representing the department at Admissions events; serving or holding a leadership position on a departmental, College, or University committee; being the faculty sponsor of a </w:t>
            </w:r>
            <w:proofErr w:type="gramStart"/>
            <w:r w:rsidRPr="001676AE">
              <w:t>University</w:t>
            </w:r>
            <w:proofErr w:type="gramEnd"/>
            <w:r w:rsidRPr="001676AE">
              <w:t xml:space="preserve"> student club. Professional service to the community </w:t>
            </w:r>
            <w:r w:rsidR="00A963B6">
              <w:t xml:space="preserve">that is </w:t>
            </w:r>
            <w:r w:rsidR="009A087C">
              <w:t>informed by</w:t>
            </w:r>
            <w:r w:rsidR="00A963B6">
              <w:t xml:space="preserve"> the candidate’s </w:t>
            </w:r>
            <w:r w:rsidR="007C743F">
              <w:t xml:space="preserve">expertise </w:t>
            </w:r>
            <w:r w:rsidRPr="001676AE">
              <w:t>is also valued since community service aligns with the College and University Mission Statements.</w:t>
            </w:r>
          </w:p>
        </w:tc>
      </w:tr>
    </w:tbl>
    <w:p w14:paraId="55A0E0EA" w14:textId="5C8B2E26" w:rsidR="00694ADF" w:rsidRPr="00BE73B8" w:rsidRDefault="00694ADF" w:rsidP="00694ADF"/>
    <w:p w14:paraId="60244433" w14:textId="730EA2F3" w:rsidR="00811B52" w:rsidRDefault="00811B52" w:rsidP="00811B52">
      <w:pPr>
        <w:pStyle w:val="Heading1"/>
      </w:pPr>
      <w:r>
        <w:lastRenderedPageBreak/>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6AB4C5DF" w14:textId="67C6915E" w:rsidR="003B5426" w:rsidRDefault="003B5426" w:rsidP="003B5426">
      <w:pPr>
        <w:pStyle w:val="Caption"/>
        <w:keepNext/>
      </w:pPr>
      <w:r>
        <w:t xml:space="preserve">Table </w:t>
      </w:r>
      <w:fldSimple w:instr=" SEQ Table \* ARABIC ">
        <w:r w:rsidR="00360846">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4CD93D45">
        <w:tc>
          <w:tcPr>
            <w:tcW w:w="4675" w:type="dxa"/>
          </w:tcPr>
          <w:p w14:paraId="676CD2B3"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299B708B" w14:textId="77777777" w:rsidR="006518EC" w:rsidRDefault="006518EC" w:rsidP="006518EC">
            <w:r w:rsidRPr="00E6384B">
              <w:t>All criteria listed in 7.3.1 apply to the candidate from the Department of Mathematics.</w:t>
            </w:r>
          </w:p>
          <w:p w14:paraId="54DC04A7" w14:textId="240BDDEB" w:rsidR="001B6F77" w:rsidRDefault="006518EC" w:rsidP="006518EC">
            <w:r w:rsidRPr="008F3862">
              <w:t>Candidates may show a pattern of effective and innovative teaching through</w:t>
            </w:r>
            <w:r w:rsidR="00B953C4">
              <w:t xml:space="preserve"> any of the following</w:t>
            </w:r>
            <w:r w:rsidRPr="008F3862">
              <w:t xml:space="preserve">: </w:t>
            </w:r>
            <w:r w:rsidRPr="006518EC">
              <w:t>demonstrating use of innovative teaching techniques in the classroom; reflection on the impact of these techniques to the class</w:t>
            </w:r>
            <w:r w:rsidR="00FE4D5B">
              <w:t xml:space="preserve"> and/or </w:t>
            </w:r>
            <w:r w:rsidRPr="006518EC">
              <w:t>students; showing effort to improve teaching in ways that benefit students; teaching major</w:t>
            </w:r>
            <w:r w:rsidR="00FE4D5B">
              <w:t xml:space="preserve"> courses</w:t>
            </w:r>
            <w:r w:rsidRPr="006518EC">
              <w:t>, elective</w:t>
            </w:r>
            <w:r w:rsidR="00FE4D5B">
              <w:t xml:space="preserve"> courses</w:t>
            </w:r>
            <w:r w:rsidRPr="006518EC">
              <w:t>, general education courses</w:t>
            </w:r>
            <w:r w:rsidR="00FE4D5B">
              <w:t>,</w:t>
            </w:r>
            <w:r w:rsidRPr="006518EC">
              <w:t xml:space="preserve"> and/or courses with across the curriculum designations; exhibiting reflection on student course evaluations and peer reviews of class visits, and making relevant changes based on this feedback when appropriate; </w:t>
            </w:r>
            <w:r w:rsidR="00265F58">
              <w:t xml:space="preserve">developing, or significantly contributing to the development of new courses or programs; </w:t>
            </w:r>
            <w:r w:rsidRPr="006518EC">
              <w:t>supervision of student undergraduate research projects, honors theses, and conference presentations.</w:t>
            </w:r>
            <w:r w:rsidR="00013165">
              <w:t xml:space="preserve"> </w:t>
            </w:r>
            <w:r w:rsidRPr="00200CBA">
              <w:t>Of particular importance are innovative teaching methods that promote success and foster enthusiasm for mathematics</w:t>
            </w:r>
            <w:r>
              <w:t xml:space="preserve"> and statistics</w:t>
            </w:r>
            <w:r w:rsidRPr="00200CBA">
              <w:t>, as well as supervision of student activities outside the classroom, such as undergraduate research projects, honors theses, presentations, and publications</w:t>
            </w:r>
          </w:p>
        </w:tc>
      </w:tr>
    </w:tbl>
    <w:p w14:paraId="7FE498A8" w14:textId="4EB02803" w:rsidR="00811B52" w:rsidRDefault="00811B52" w:rsidP="00811B52"/>
    <w:p w14:paraId="7FC15259" w14:textId="13BD58E9"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Associate Professor and/or Tenure</w:t>
      </w:r>
      <w:r w:rsidR="00475FB4">
        <w:t>)</w:t>
      </w:r>
    </w:p>
    <w:p w14:paraId="2C6225BE" w14:textId="6C18AC8F" w:rsidR="003B5426" w:rsidRDefault="003B5426" w:rsidP="003B5426">
      <w:pPr>
        <w:pStyle w:val="Caption"/>
        <w:keepNext/>
      </w:pPr>
      <w:r>
        <w:t xml:space="preserve">Table </w:t>
      </w:r>
      <w:fldSimple w:instr=" SEQ Table \* ARABIC ">
        <w:r w:rsidR="00360846">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57299D" w14:paraId="31ADD769" w14:textId="77777777" w:rsidTr="4CD93D45">
        <w:tc>
          <w:tcPr>
            <w:tcW w:w="4675" w:type="dxa"/>
          </w:tcPr>
          <w:p w14:paraId="71D50E4D" w14:textId="26B9E341" w:rsidR="0057299D" w:rsidRDefault="00073447">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0AED5737" w14:textId="62973D27" w:rsidR="00F65FF5" w:rsidRDefault="00F65FF5" w:rsidP="00F65FF5">
            <w:r w:rsidRPr="00E6384B">
              <w:t>All criteria listed in 7.3.</w:t>
            </w:r>
            <w:r>
              <w:t>2.2</w:t>
            </w:r>
            <w:r w:rsidRPr="00E6384B">
              <w:t xml:space="preserve"> apply to the candidate from the Department of Mathematics. </w:t>
            </w:r>
            <w:r w:rsidRPr="00200CBA">
              <w:t xml:space="preserve">Of particular importance are </w:t>
            </w:r>
            <w:r w:rsidRPr="00E81914">
              <w:t>peer-reviewed journal articles</w:t>
            </w:r>
            <w:r>
              <w:t>, books or book chapters, conference or meeting presentations, service as a referee or reviewer for recognized journals,</w:t>
            </w:r>
            <w:r w:rsidRPr="001B78CC">
              <w:t xml:space="preserve"> research projects in progress that indicate future achievements</w:t>
            </w:r>
            <w:r>
              <w:t>.</w:t>
            </w:r>
          </w:p>
          <w:p w14:paraId="4E378F61" w14:textId="77777777" w:rsidR="00F65FF5" w:rsidRDefault="00F65FF5" w:rsidP="00F65FF5">
            <w:r>
              <w:rPr>
                <w:kern w:val="0"/>
                <w14:ligatures w14:val="none"/>
              </w:rPr>
              <w:t xml:space="preserve">Other activities that can be considered in this category are </w:t>
            </w:r>
            <w:r>
              <w:t>participation in professional programs or workshops and contributions to grant proposals or funded projects.</w:t>
            </w:r>
          </w:p>
          <w:p w14:paraId="15928966" w14:textId="77777777" w:rsidR="0057299D" w:rsidRDefault="0057299D"/>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2482B1B3" w14:textId="0857A6B7" w:rsidR="003B5426" w:rsidRDefault="003B5426" w:rsidP="003B5426">
      <w:pPr>
        <w:pStyle w:val="Caption"/>
        <w:keepNext/>
      </w:pPr>
      <w:r>
        <w:t xml:space="preserve">Table </w:t>
      </w:r>
      <w:fldSimple w:instr=" SEQ Table \* ARABIC ">
        <w:r w:rsidR="00360846">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61D3BA9A" w14:textId="2BB641F2" w:rsidR="007F04C2" w:rsidRDefault="00DF5D5B">
            <w:r w:rsidRPr="00E6384B">
              <w:t>All criteria listed in 7.3.</w:t>
            </w:r>
            <w:r>
              <w:t>3.1</w:t>
            </w:r>
            <w:r w:rsidRPr="00E6384B">
              <w:t xml:space="preserve"> apply to the candidate from the Department of Mathematics.</w:t>
            </w:r>
            <w:r>
              <w:t xml:space="preserve"> Additional examples include effective leadership in service, substantial contribution to a committee’s work, coordination of multi-section or high-enrollment courses, course or program assessment work, and bringing motions to committees, departments, </w:t>
            </w:r>
            <w:r w:rsidR="004B179B">
              <w:t>C</w:t>
            </w:r>
            <w:r>
              <w:t>ollege, or the faculty.</w:t>
            </w:r>
            <w:r w:rsidR="00FD7FF3">
              <w:t xml:space="preserve"> </w:t>
            </w:r>
            <w:r w:rsidR="00FD7FF3" w:rsidRPr="001676AE">
              <w:t xml:space="preserve">Professional service to the community </w:t>
            </w:r>
            <w:r w:rsidR="00FD7FF3">
              <w:t xml:space="preserve">that is informed by the candidate’s expertise </w:t>
            </w:r>
            <w:r w:rsidR="00FD7FF3" w:rsidRPr="001676AE">
              <w:t>is also valued since community service aligns with the College and University Mission Statements.</w:t>
            </w:r>
          </w:p>
        </w:tc>
      </w:tr>
    </w:tbl>
    <w:p w14:paraId="5BA96C6F" w14:textId="086FD3A1" w:rsidR="00811B52" w:rsidRPr="00BE73B8" w:rsidRDefault="00811B52" w:rsidP="00811B52"/>
    <w:p w14:paraId="138E453B" w14:textId="7F329CEB" w:rsidR="00811B52" w:rsidRDefault="00811B52" w:rsidP="00811B52">
      <w:pPr>
        <w:pStyle w:val="Heading1"/>
      </w:pPr>
      <w:r>
        <w:lastRenderedPageBreak/>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690645E9" w14:textId="3ACDFEE1" w:rsidR="003B5426" w:rsidRDefault="003B5426" w:rsidP="003B5426">
      <w:pPr>
        <w:pStyle w:val="Caption"/>
        <w:keepNext/>
      </w:pPr>
      <w:r>
        <w:t xml:space="preserve">Table </w:t>
      </w:r>
      <w:fldSimple w:instr=" SEQ Table \* ARABIC ">
        <w:r w:rsidR="00360846">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2020FE1A" w14:textId="77777777" w:rsidR="00DF5D5B" w:rsidRDefault="00DF5D5B" w:rsidP="00DF5D5B">
            <w:r w:rsidRPr="00E6384B">
              <w:t>All criteria listed in 7.3.1 apply to the candidate from the Department of Mathematics.</w:t>
            </w:r>
          </w:p>
          <w:p w14:paraId="2CC0DED9" w14:textId="5FAC1ABF" w:rsidR="00DF5D5B" w:rsidRPr="00200CBA" w:rsidRDefault="00DF5D5B" w:rsidP="00DF5D5B">
            <w:r w:rsidRPr="00DF5D5B">
              <w:t xml:space="preserve">Candidates may show a pattern of effective and innovative teaching </w:t>
            </w:r>
            <w:r>
              <w:t>through any of the following</w:t>
            </w:r>
            <w:r w:rsidRPr="00DF5D5B">
              <w:t>: demonstrating use of innovative teaching techniques in the classroom; reflection on the impact of these techniques to the class/students; showing effort to improve teaching in ways that benefit students; teaching major</w:t>
            </w:r>
            <w:r w:rsidR="00FE4D5B">
              <w:t xml:space="preserve"> courses</w:t>
            </w:r>
            <w:r w:rsidRPr="00DF5D5B">
              <w:t>, elective</w:t>
            </w:r>
            <w:r w:rsidR="00FE4D5B">
              <w:t xml:space="preserve"> courses</w:t>
            </w:r>
            <w:r w:rsidRPr="00DF5D5B">
              <w:t>, general education courses</w:t>
            </w:r>
            <w:r w:rsidR="00FE4D5B">
              <w:t>,</w:t>
            </w:r>
            <w:r w:rsidRPr="00DF5D5B">
              <w:t xml:space="preserve"> and/or courses with across the curriculum designations; exhibiting reflection on student course evaluations and peer reviews of class visits, and making relevant changes based on this feedback when appropriate; </w:t>
            </w:r>
            <w:r w:rsidR="00C44F1B">
              <w:t xml:space="preserve">developing, or significantly contributing to the development of new courses or programs; </w:t>
            </w:r>
            <w:r w:rsidRPr="00DF5D5B">
              <w:t>supervision of student undergraduate research projects, honors theses, and conference presentations.</w:t>
            </w:r>
          </w:p>
          <w:p w14:paraId="7E31F588" w14:textId="77777777" w:rsidR="00DF5D5B" w:rsidRDefault="00DF5D5B" w:rsidP="00DF5D5B"/>
          <w:p w14:paraId="5DA56647" w14:textId="2E354B87" w:rsidR="00DF5D5B" w:rsidRPr="00200CBA" w:rsidRDefault="00DF5D5B" w:rsidP="00DF5D5B">
            <w:r w:rsidRPr="00200CBA">
              <w:t>Of particular importance are innovative teaching methods that promote success and foster enthusiasm for mathematics</w:t>
            </w:r>
            <w:r>
              <w:t xml:space="preserve"> and statistics</w:t>
            </w:r>
            <w:r w:rsidRPr="00200CBA">
              <w:t>, as well as supervision of student activities outside the classroom, such as undergraduate research projects, honors theses, presentations, and publications.</w:t>
            </w:r>
          </w:p>
          <w:p w14:paraId="4C3B4D16" w14:textId="77777777" w:rsidR="001B6F77" w:rsidRDefault="001B6F77"/>
        </w:tc>
      </w:tr>
    </w:tbl>
    <w:p w14:paraId="069F233B" w14:textId="216E3978" w:rsidR="00811B52" w:rsidRDefault="00811B52" w:rsidP="00811B52"/>
    <w:p w14:paraId="221735EC" w14:textId="77303E4B"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Full Professor</w:t>
      </w:r>
      <w:r w:rsidR="00475FB4">
        <w:t>)</w:t>
      </w:r>
    </w:p>
    <w:p w14:paraId="4EF0E5AE" w14:textId="2B44675B" w:rsidR="00360846" w:rsidRDefault="00360846" w:rsidP="00360846">
      <w:pPr>
        <w:pStyle w:val="Caption"/>
        <w:keepNext/>
      </w:pPr>
      <w:r>
        <w:t xml:space="preserve">Table </w:t>
      </w:r>
      <w:fldSimple w:instr=" SEQ Table \* ARABIC ">
        <w:r>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7E7EA6" w14:paraId="7E586639" w14:textId="77777777" w:rsidTr="4CD93D45">
        <w:tc>
          <w:tcPr>
            <w:tcW w:w="4675" w:type="dxa"/>
          </w:tcPr>
          <w:p w14:paraId="0A38931F" w14:textId="0D8F9381" w:rsidR="007E7EA6" w:rsidRDefault="001544D6">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professional organizations would be considered service to the profession. The </w:t>
            </w:r>
            <w:r w:rsidRPr="001544D6">
              <w:lastRenderedPageBreak/>
              <w:t>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192FF8CF" w14:textId="0603CC3E" w:rsidR="00795214" w:rsidRDefault="00795214" w:rsidP="00795214">
            <w:r w:rsidRPr="001B78CC">
              <w:lastRenderedPageBreak/>
              <w:t xml:space="preserve">The candidate will maintain a visible research program throughout the evaluation period, demonstrated by articles published or accepted for publication in reputable peer-reviewed mathematics journals; talks, especially invited ones, at mathematics conferences, meetings, </w:t>
            </w:r>
            <w:r>
              <w:t>or</w:t>
            </w:r>
            <w:r w:rsidRPr="001B78CC">
              <w:t xml:space="preserve"> colloquia; books or book chapters; winning research grants, especially external ones; serving as a reviewer of articles submitted to peer-reviewed mathematics journals, as well as of published articles; being </w:t>
            </w:r>
            <w:r w:rsidRPr="00D93C9E">
              <w:t>active</w:t>
            </w:r>
            <w:r w:rsidRPr="001B78CC">
              <w:t xml:space="preserve"> in professional organizations; and other activities that advance progress of mathematical research. </w:t>
            </w:r>
          </w:p>
          <w:p w14:paraId="6068D46B" w14:textId="77777777" w:rsidR="00795214" w:rsidRDefault="00795214" w:rsidP="00795214"/>
          <w:p w14:paraId="30AA080E" w14:textId="77777777" w:rsidR="00795214" w:rsidRPr="00795214" w:rsidRDefault="00795214" w:rsidP="00795214">
            <w:r w:rsidRPr="00795214">
              <w:t>Any activity focused entirely on teaching methods, including presentations and publications, should be included in the Teaching category unless it qualifies as research in mathematics education or in the scholarship of teaching and learning that develops new ideas, rather than merely presenting applications of existing methods in the candidate’s teaching.</w:t>
            </w:r>
          </w:p>
          <w:p w14:paraId="3770D2EC" w14:textId="77777777" w:rsidR="007E7EA6" w:rsidRDefault="007E7EA6"/>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5340A8AF" w14:textId="607BC264" w:rsidR="00360846" w:rsidRDefault="00360846" w:rsidP="00360846">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95214" w14:paraId="6DFBC24B" w14:textId="77777777" w:rsidTr="4CD93D45">
        <w:tc>
          <w:tcPr>
            <w:tcW w:w="4675" w:type="dxa"/>
          </w:tcPr>
          <w:p w14:paraId="6ADC2E0D" w14:textId="465306A5" w:rsidR="00795214" w:rsidRDefault="00795214" w:rsidP="0079521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1BDFA64E" w14:textId="6E207705" w:rsidR="00795214" w:rsidRDefault="00795214" w:rsidP="00795214">
            <w:r w:rsidRPr="001B78CC">
              <w:t xml:space="preserve">The candidate will maintain a record of service throughout the evaluation period, with an emphasis on leadership. Evidence of leadership in service may include: a substantial record of advising mathematics majors or incoming students, particularly related to high-impact courses for first-year students; substantial service at the department level, such as serving in </w:t>
            </w:r>
            <w:r w:rsidR="00D93C9E">
              <w:t xml:space="preserve">a </w:t>
            </w:r>
            <w:r w:rsidRPr="001B78CC">
              <w:t xml:space="preserve">leadership role within the department, </w:t>
            </w:r>
            <w:r w:rsidR="00D93C9E">
              <w:t xml:space="preserve">on </w:t>
            </w:r>
            <w:r w:rsidR="00631A08">
              <w:t xml:space="preserve">a </w:t>
            </w:r>
            <w:r w:rsidRPr="001B78CC">
              <w:t xml:space="preserve">search committee, </w:t>
            </w:r>
            <w:r w:rsidR="00D93C9E">
              <w:t>or</w:t>
            </w:r>
            <w:r w:rsidRPr="001B78CC">
              <w:t xml:space="preserve"> </w:t>
            </w:r>
            <w:r w:rsidR="00631A08">
              <w:t xml:space="preserve">a </w:t>
            </w:r>
            <w:r w:rsidRPr="001B78CC">
              <w:t xml:space="preserve">similar special assignments; spearheading efforts in innovative teaching methods or curriculum revision; leadership positions or evidence of substantial contributions to the work of a </w:t>
            </w:r>
            <w:r w:rsidR="00D93C9E">
              <w:t>C</w:t>
            </w:r>
            <w:r w:rsidRPr="001B78CC">
              <w:t>ollege or University committee; substantial professional service beyond the University, such as organizing or leading professional activities at regional or national meetings.</w:t>
            </w:r>
            <w:r w:rsidR="00FD7FF3">
              <w:t xml:space="preserve"> </w:t>
            </w:r>
            <w:r w:rsidR="00FD7FF3" w:rsidRPr="001676AE">
              <w:t xml:space="preserve">Professional service to the community </w:t>
            </w:r>
            <w:r w:rsidR="00FD7FF3">
              <w:t xml:space="preserve">that is informed by the candidate’s expertise </w:t>
            </w:r>
            <w:r w:rsidR="00FD7FF3" w:rsidRPr="001676AE">
              <w:t>is also valued since community service aligns with the College and University Mission Statements.</w:t>
            </w:r>
          </w:p>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5EB7" w14:textId="77777777" w:rsidR="002D6C39" w:rsidRDefault="002D6C39" w:rsidP="00FD4E05">
      <w:pPr>
        <w:spacing w:after="0" w:line="240" w:lineRule="auto"/>
      </w:pPr>
      <w:r>
        <w:separator/>
      </w:r>
    </w:p>
  </w:endnote>
  <w:endnote w:type="continuationSeparator" w:id="0">
    <w:p w14:paraId="583F2CFC" w14:textId="77777777" w:rsidR="002D6C39" w:rsidRDefault="002D6C39"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220A49F5" w:rsidR="00FD4E05" w:rsidRDefault="00FD4E05" w:rsidP="00FD4E05">
    <w:pPr>
      <w:pStyle w:val="Footer"/>
      <w:jc w:val="right"/>
    </w:pPr>
    <w:r>
      <w:t xml:space="preserve">Approved by UFAC </w:t>
    </w:r>
    <w:r w:rsidR="00FE662D">
      <w:t>3/23/26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ED11" w14:textId="77777777" w:rsidR="002D6C39" w:rsidRDefault="002D6C39" w:rsidP="00FD4E05">
      <w:pPr>
        <w:spacing w:after="0" w:line="240" w:lineRule="auto"/>
      </w:pPr>
      <w:r>
        <w:separator/>
      </w:r>
    </w:p>
  </w:footnote>
  <w:footnote w:type="continuationSeparator" w:id="0">
    <w:p w14:paraId="7BA2DAAF" w14:textId="77777777" w:rsidR="002D6C39" w:rsidRDefault="002D6C39" w:rsidP="00FD4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13165"/>
    <w:rsid w:val="00073447"/>
    <w:rsid w:val="000D7B1F"/>
    <w:rsid w:val="00133CB0"/>
    <w:rsid w:val="001544D6"/>
    <w:rsid w:val="001676AE"/>
    <w:rsid w:val="001B6F77"/>
    <w:rsid w:val="001D2AB3"/>
    <w:rsid w:val="001D4569"/>
    <w:rsid w:val="00221146"/>
    <w:rsid w:val="002636B7"/>
    <w:rsid w:val="00265F58"/>
    <w:rsid w:val="002A6E3F"/>
    <w:rsid w:val="002D6C39"/>
    <w:rsid w:val="002F5B27"/>
    <w:rsid w:val="002F7737"/>
    <w:rsid w:val="003346DA"/>
    <w:rsid w:val="00360846"/>
    <w:rsid w:val="003A7BC4"/>
    <w:rsid w:val="003B5426"/>
    <w:rsid w:val="003C3755"/>
    <w:rsid w:val="00400B18"/>
    <w:rsid w:val="00475FB4"/>
    <w:rsid w:val="004A7A68"/>
    <w:rsid w:val="004B179B"/>
    <w:rsid w:val="004D095C"/>
    <w:rsid w:val="004D1BB3"/>
    <w:rsid w:val="004F0CAF"/>
    <w:rsid w:val="0050064F"/>
    <w:rsid w:val="00504074"/>
    <w:rsid w:val="0057299D"/>
    <w:rsid w:val="005A7D6E"/>
    <w:rsid w:val="005E7DDA"/>
    <w:rsid w:val="00631A08"/>
    <w:rsid w:val="006518EC"/>
    <w:rsid w:val="00672524"/>
    <w:rsid w:val="00694ADF"/>
    <w:rsid w:val="006E295B"/>
    <w:rsid w:val="006E4B14"/>
    <w:rsid w:val="00771551"/>
    <w:rsid w:val="00795214"/>
    <w:rsid w:val="007A0901"/>
    <w:rsid w:val="007A5D71"/>
    <w:rsid w:val="007B0E97"/>
    <w:rsid w:val="007C743F"/>
    <w:rsid w:val="007E7EA6"/>
    <w:rsid w:val="007F04C2"/>
    <w:rsid w:val="00811B52"/>
    <w:rsid w:val="00817A72"/>
    <w:rsid w:val="008364FA"/>
    <w:rsid w:val="008F3862"/>
    <w:rsid w:val="008F42B4"/>
    <w:rsid w:val="009A087C"/>
    <w:rsid w:val="009A187B"/>
    <w:rsid w:val="009A3F38"/>
    <w:rsid w:val="00A1069C"/>
    <w:rsid w:val="00A11151"/>
    <w:rsid w:val="00A7430E"/>
    <w:rsid w:val="00A963B6"/>
    <w:rsid w:val="00AA1F56"/>
    <w:rsid w:val="00AB1709"/>
    <w:rsid w:val="00AF6F67"/>
    <w:rsid w:val="00B15561"/>
    <w:rsid w:val="00B163EA"/>
    <w:rsid w:val="00B1642C"/>
    <w:rsid w:val="00B356B8"/>
    <w:rsid w:val="00B6002C"/>
    <w:rsid w:val="00B953C4"/>
    <w:rsid w:val="00B9758C"/>
    <w:rsid w:val="00B97C16"/>
    <w:rsid w:val="00BA7C1B"/>
    <w:rsid w:val="00BE73B8"/>
    <w:rsid w:val="00BF29D0"/>
    <w:rsid w:val="00C269D0"/>
    <w:rsid w:val="00C4039D"/>
    <w:rsid w:val="00C40CF1"/>
    <w:rsid w:val="00C44F1B"/>
    <w:rsid w:val="00C81926"/>
    <w:rsid w:val="00C945C2"/>
    <w:rsid w:val="00D35098"/>
    <w:rsid w:val="00D46436"/>
    <w:rsid w:val="00D53F1E"/>
    <w:rsid w:val="00D93C9E"/>
    <w:rsid w:val="00D94186"/>
    <w:rsid w:val="00DF5D5B"/>
    <w:rsid w:val="00E0783E"/>
    <w:rsid w:val="00E1102B"/>
    <w:rsid w:val="00E34DFA"/>
    <w:rsid w:val="00E57C36"/>
    <w:rsid w:val="00E72CD5"/>
    <w:rsid w:val="00E81960"/>
    <w:rsid w:val="00F65FF5"/>
    <w:rsid w:val="00F91E49"/>
    <w:rsid w:val="00FB6944"/>
    <w:rsid w:val="00FD4E05"/>
    <w:rsid w:val="00FD7FF3"/>
    <w:rsid w:val="00FE2448"/>
    <w:rsid w:val="00FE4D5B"/>
    <w:rsid w:val="00FE662D"/>
    <w:rsid w:val="00FF1E37"/>
    <w:rsid w:val="050F51CE"/>
    <w:rsid w:val="0BC56D97"/>
    <w:rsid w:val="19894D7F"/>
    <w:rsid w:val="1FF27839"/>
    <w:rsid w:val="2099D0CB"/>
    <w:rsid w:val="2DCF7C9C"/>
    <w:rsid w:val="3825F6BA"/>
    <w:rsid w:val="40C0516B"/>
    <w:rsid w:val="4CD93D45"/>
    <w:rsid w:val="57122CD4"/>
    <w:rsid w:val="5CF632AB"/>
    <w:rsid w:val="626C5926"/>
    <w:rsid w:val="69824A5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NormalWeb">
    <w:name w:val="Normal (Web)"/>
    <w:basedOn w:val="Normal"/>
    <w:uiPriority w:val="99"/>
    <w:semiHidden/>
    <w:unhideWhenUsed/>
    <w:rsid w:val="004D095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3B5426"/>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12789">
      <w:bodyDiv w:val="1"/>
      <w:marLeft w:val="0"/>
      <w:marRight w:val="0"/>
      <w:marTop w:val="0"/>
      <w:marBottom w:val="0"/>
      <w:divBdr>
        <w:top w:val="none" w:sz="0" w:space="0" w:color="auto"/>
        <w:left w:val="none" w:sz="0" w:space="0" w:color="auto"/>
        <w:bottom w:val="none" w:sz="0" w:space="0" w:color="auto"/>
        <w:right w:val="none" w:sz="0" w:space="0" w:color="auto"/>
      </w:divBdr>
    </w:div>
    <w:div w:id="9769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2.xml><?xml version="1.0" encoding="utf-8"?>
<ds:datastoreItem xmlns:ds="http://schemas.openxmlformats.org/officeDocument/2006/customXml" ds:itemID="{1CF0A948-915F-4776-BDDE-99A192CF8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4.xml><?xml version="1.0" encoding="utf-8"?>
<ds:datastoreItem xmlns:ds="http://schemas.openxmlformats.org/officeDocument/2006/customXml" ds:itemID="{1CCA9CFA-0FB2-0A42-9755-5FC289A7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2872</Words>
  <Characters>18587</Characters>
  <Application>Microsoft Office Word</Application>
  <DocSecurity>0</DocSecurity>
  <Lines>563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Esunge (jesunge)</dc:creator>
  <cp:keywords/>
  <dc:description/>
  <cp:lastModifiedBy>Melissa Wells (mwells)</cp:lastModifiedBy>
  <cp:revision>6</cp:revision>
  <dcterms:created xsi:type="dcterms:W3CDTF">2026-03-10T13:59:00Z</dcterms:created>
  <dcterms:modified xsi:type="dcterms:W3CDTF">2026-04-01T21:26:00Z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