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3C22063A" w:rsidR="005E7DDA" w:rsidRDefault="00C81926" w:rsidP="00C81926">
      <w:pPr>
        <w:pStyle w:val="Title"/>
      </w:pPr>
      <w:r>
        <w:t xml:space="preserve">Departmental Guidelines for Promotion &amp; Tenure: </w:t>
      </w:r>
      <w:r w:rsidR="005F2F4E">
        <w:t>Education Department</w:t>
      </w:r>
    </w:p>
    <w:p w14:paraId="7E6AC086" w14:textId="1314642E" w:rsidR="00C81926" w:rsidRDefault="00A7430E" w:rsidP="00C81926">
      <w:r>
        <w:t xml:space="preserve">This document will </w:t>
      </w:r>
      <w:r w:rsidR="00C4039D">
        <w:t xml:space="preserve">detail guidelines for candidates applying for promotion and/or tenure at the University of Mary Washington in the </w:t>
      </w:r>
      <w:r w:rsidR="005F2F4E">
        <w:t>Education</w:t>
      </w:r>
      <w:r w:rsidR="00C4039D">
        <w:t xml:space="preserve"> Department</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1C57AA37"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hese guidelines were approved by the University Faculty Affairs Committee on</w:t>
      </w:r>
      <w:r w:rsidR="00740C39">
        <w:t xml:space="preserve"> 2/23/26</w:t>
      </w:r>
      <w:r>
        <w:t>.</w:t>
      </w:r>
    </w:p>
    <w:p w14:paraId="4663B547" w14:textId="77777777" w:rsidR="008F7220" w:rsidRDefault="008F7220" w:rsidP="00BE73B8">
      <w:pPr>
        <w:pStyle w:val="Heading1"/>
      </w:pPr>
      <w:r>
        <w:t>Examples of Evidence</w:t>
      </w:r>
    </w:p>
    <w:p w14:paraId="444CA3FF" w14:textId="62B7E5E5" w:rsidR="00CF683C" w:rsidRDefault="00CF683C" w:rsidP="00CF683C">
      <w:r>
        <w:t xml:space="preserve">Across all </w:t>
      </w:r>
      <w:r w:rsidR="00D756E5">
        <w:t>ranks</w:t>
      </w:r>
      <w:r w:rsidR="00AC488F">
        <w:t xml:space="preserve">, common examples of evidence in the areas of teaching, scholarship, and service </w:t>
      </w:r>
      <w:r w:rsidR="00A87FB1">
        <w:t xml:space="preserve">can </w:t>
      </w:r>
      <w:r w:rsidR="00E6579E">
        <w:t xml:space="preserve">demonstrate how a candidate is meeting criteria in each area. Differentiated expectations are explained in separate sections based on the </w:t>
      </w:r>
      <w:r w:rsidR="008605C6">
        <w:t>rank desired</w:t>
      </w:r>
      <w:r w:rsidR="002B6461">
        <w:t>. The lists of evidence below are not intended to be exhaustive, nor should a candidate be expected to demonstrate every type of evidence</w:t>
      </w:r>
      <w:r w:rsidR="001B7C6E">
        <w:t xml:space="preserve"> in the lists below</w:t>
      </w:r>
      <w:r w:rsidR="002B6461">
        <w:t xml:space="preserve">. If an activity is mentioned in more than one category, then a candidate must clearly distinguish how it </w:t>
      </w:r>
      <w:r w:rsidR="00861383">
        <w:t xml:space="preserve">relates separately to each category. For example, </w:t>
      </w:r>
      <w:r w:rsidR="007B2841">
        <w:t xml:space="preserve">teaching a course </w:t>
      </w:r>
      <w:r w:rsidR="00777EF9">
        <w:t>with</w:t>
      </w:r>
      <w:r w:rsidR="00EC1464">
        <w:t xml:space="preserve"> </w:t>
      </w:r>
      <w:r w:rsidR="007B2841">
        <w:t xml:space="preserve">an innovative pedagogy could count under teaching, and completing research on this pedagogy </w:t>
      </w:r>
      <w:r w:rsidR="006733FE">
        <w:t xml:space="preserve">(including presentations or publications) </w:t>
      </w:r>
      <w:r w:rsidR="00B75159">
        <w:t>utilizing</w:t>
      </w:r>
      <w:r w:rsidR="007B2841">
        <w:t xml:space="preserve"> the Scholarship of Teaching and Learning (</w:t>
      </w:r>
      <w:proofErr w:type="spellStart"/>
      <w:r w:rsidR="007B2841">
        <w:t>SoTL</w:t>
      </w:r>
      <w:proofErr w:type="spellEnd"/>
      <w:r w:rsidR="007B2841">
        <w:t>) could count under research.</w:t>
      </w:r>
      <w:r w:rsidR="00657BEF">
        <w:t xml:space="preserve"> Candidates should not count</w:t>
      </w:r>
      <w:r w:rsidR="001C79E3">
        <w:t xml:space="preserve"> an identical piece of evidence in multiple categories.</w:t>
      </w:r>
    </w:p>
    <w:p w14:paraId="070B320A" w14:textId="4584A72A" w:rsidR="003A2989" w:rsidRDefault="003A2989" w:rsidP="003A2989">
      <w:pPr>
        <w:pStyle w:val="Heading2"/>
      </w:pPr>
      <w:r>
        <w:t>Teaching Evidence</w:t>
      </w:r>
    </w:p>
    <w:p w14:paraId="743515E2" w14:textId="77777777" w:rsidR="00D55D28" w:rsidRPr="009B772A" w:rsidRDefault="00D55D28" w:rsidP="00D55D28">
      <w:pPr>
        <w:spacing w:line="257" w:lineRule="auto"/>
      </w:pPr>
      <w:r w:rsidRPr="009B772A">
        <w:rPr>
          <w:rFonts w:eastAsia="Calibri" w:cs="Calibri"/>
        </w:rPr>
        <w:t xml:space="preserve">Effective and Program Aligned Teaching/Supervision </w:t>
      </w:r>
    </w:p>
    <w:p w14:paraId="33956528" w14:textId="77777777" w:rsidR="00D55D28" w:rsidRPr="009B772A" w:rsidRDefault="00D55D28" w:rsidP="00D55D28">
      <w:pPr>
        <w:pStyle w:val="ListParagraph"/>
        <w:numPr>
          <w:ilvl w:val="0"/>
          <w:numId w:val="3"/>
        </w:numPr>
        <w:spacing w:line="257" w:lineRule="auto"/>
        <w:rPr>
          <w:rFonts w:eastAsia="Calibri" w:cs="Calibri"/>
        </w:rPr>
      </w:pPr>
      <w:r w:rsidRPr="009B772A">
        <w:rPr>
          <w:rFonts w:eastAsia="Calibri" w:cs="Calibri"/>
        </w:rPr>
        <w:t>Course syllabi, lesson plans, units, and instructional materials</w:t>
      </w:r>
    </w:p>
    <w:p w14:paraId="39CE515C" w14:textId="04CDCE4D" w:rsidR="00D55D28" w:rsidRPr="009B772A" w:rsidRDefault="00D55D28" w:rsidP="00D55D28">
      <w:pPr>
        <w:pStyle w:val="ListParagraph"/>
        <w:numPr>
          <w:ilvl w:val="0"/>
          <w:numId w:val="3"/>
        </w:numPr>
        <w:spacing w:line="257" w:lineRule="auto"/>
        <w:rPr>
          <w:rFonts w:eastAsia="Calibri" w:cs="Calibri"/>
        </w:rPr>
      </w:pPr>
      <w:r w:rsidRPr="7E6DC74E">
        <w:rPr>
          <w:rFonts w:eastAsia="Calibri" w:cs="Calibri"/>
        </w:rPr>
        <w:t>Documentation of developing or modifying instruction</w:t>
      </w:r>
      <w:r>
        <w:rPr>
          <w:rFonts w:eastAsia="Calibri" w:cs="Calibri"/>
        </w:rPr>
        <w:t xml:space="preserve"> in alignment with the department’s conceptual framework</w:t>
      </w:r>
    </w:p>
    <w:p w14:paraId="09DAE1DF" w14:textId="77777777" w:rsidR="00D55D28" w:rsidRPr="009B772A" w:rsidRDefault="00D55D28" w:rsidP="00D55D28">
      <w:pPr>
        <w:pStyle w:val="ListParagraph"/>
        <w:numPr>
          <w:ilvl w:val="0"/>
          <w:numId w:val="3"/>
        </w:numPr>
        <w:spacing w:line="257" w:lineRule="auto"/>
        <w:rPr>
          <w:rFonts w:eastAsia="Calibri" w:cs="Calibri"/>
        </w:rPr>
      </w:pPr>
      <w:r w:rsidRPr="009B772A">
        <w:rPr>
          <w:rFonts w:eastAsia="Calibri" w:cs="Calibri"/>
        </w:rPr>
        <w:t>Peer, supervisor, or colleague evaluations</w:t>
      </w:r>
    </w:p>
    <w:p w14:paraId="2D17E0F5" w14:textId="77777777" w:rsidR="00D55D28" w:rsidRDefault="00D55D28" w:rsidP="00D55D28">
      <w:pPr>
        <w:pStyle w:val="ListParagraph"/>
        <w:numPr>
          <w:ilvl w:val="0"/>
          <w:numId w:val="3"/>
        </w:numPr>
        <w:spacing w:line="257" w:lineRule="auto"/>
        <w:rPr>
          <w:rFonts w:eastAsia="Calibri" w:cs="Calibri"/>
        </w:rPr>
      </w:pPr>
      <w:r w:rsidRPr="009B772A">
        <w:rPr>
          <w:rFonts w:eastAsia="Calibri" w:cs="Calibri"/>
        </w:rPr>
        <w:t xml:space="preserve">Teaching awards or other forms of recognition </w:t>
      </w:r>
    </w:p>
    <w:p w14:paraId="081DF2A5" w14:textId="69BCC2C6" w:rsidR="00D55D28" w:rsidRPr="00AF7B5A" w:rsidRDefault="00D55D28" w:rsidP="00D55D28">
      <w:pPr>
        <w:pStyle w:val="ListParagraph"/>
        <w:numPr>
          <w:ilvl w:val="0"/>
          <w:numId w:val="3"/>
        </w:numPr>
        <w:spacing w:after="0" w:line="257" w:lineRule="auto"/>
        <w:rPr>
          <w:rFonts w:eastAsia="Calibri" w:cs="Calibri"/>
        </w:rPr>
      </w:pPr>
      <w:r w:rsidRPr="7E6DC74E">
        <w:rPr>
          <w:rFonts w:eastAsia="Calibri" w:cs="Calibri"/>
        </w:rPr>
        <w:t>Documentation of clinical supervision activities</w:t>
      </w:r>
    </w:p>
    <w:p w14:paraId="7FF25D08" w14:textId="77777777" w:rsidR="00D55D28" w:rsidRPr="009B772A" w:rsidRDefault="00D55D28" w:rsidP="00D55D28">
      <w:pPr>
        <w:spacing w:line="257" w:lineRule="auto"/>
      </w:pPr>
      <w:r w:rsidRPr="009B772A">
        <w:rPr>
          <w:rFonts w:eastAsia="Calibri" w:cs="Calibri"/>
        </w:rPr>
        <w:lastRenderedPageBreak/>
        <w:t>Student Learning and Engagement</w:t>
      </w:r>
    </w:p>
    <w:p w14:paraId="0FE80BD9" w14:textId="77777777" w:rsidR="00D55D28" w:rsidRPr="009B772A" w:rsidRDefault="00D55D28" w:rsidP="00D55D28">
      <w:pPr>
        <w:pStyle w:val="ListParagraph"/>
        <w:numPr>
          <w:ilvl w:val="0"/>
          <w:numId w:val="3"/>
        </w:numPr>
        <w:spacing w:line="257" w:lineRule="auto"/>
        <w:rPr>
          <w:rFonts w:eastAsia="Calibri" w:cs="Calibri"/>
        </w:rPr>
      </w:pPr>
      <w:r w:rsidRPr="009B772A">
        <w:rPr>
          <w:rFonts w:eastAsia="Calibri" w:cs="Calibri"/>
        </w:rPr>
        <w:t>Evidence of student work, presentations, publications, or other demonstrations of learning</w:t>
      </w:r>
    </w:p>
    <w:p w14:paraId="541B34C2" w14:textId="77777777" w:rsidR="00D55D28" w:rsidRPr="009B772A" w:rsidRDefault="00D55D28" w:rsidP="00D55D28">
      <w:pPr>
        <w:pStyle w:val="ListParagraph"/>
        <w:numPr>
          <w:ilvl w:val="0"/>
          <w:numId w:val="3"/>
        </w:numPr>
        <w:spacing w:line="257" w:lineRule="auto"/>
        <w:rPr>
          <w:rFonts w:eastAsia="Calibri" w:cs="Calibri"/>
        </w:rPr>
      </w:pPr>
      <w:r w:rsidRPr="009B772A">
        <w:rPr>
          <w:rFonts w:eastAsia="Calibri" w:cs="Calibri"/>
        </w:rPr>
        <w:t>Performance assessment data</w:t>
      </w:r>
    </w:p>
    <w:p w14:paraId="5EABEC03" w14:textId="74EC6BB1" w:rsidR="003C6DD6" w:rsidRPr="00780C18" w:rsidRDefault="00D55D28" w:rsidP="00780C18">
      <w:pPr>
        <w:pStyle w:val="ListParagraph"/>
        <w:numPr>
          <w:ilvl w:val="0"/>
          <w:numId w:val="3"/>
        </w:numPr>
        <w:spacing w:line="257" w:lineRule="auto"/>
        <w:rPr>
          <w:rFonts w:eastAsia="Calibri" w:cs="Calibri"/>
        </w:rPr>
      </w:pPr>
      <w:r w:rsidRPr="009B772A">
        <w:rPr>
          <w:rFonts w:eastAsia="Calibri" w:cs="Calibri"/>
        </w:rPr>
        <w:t>Student evaluations and narrative feedback</w:t>
      </w:r>
    </w:p>
    <w:p w14:paraId="209F3C9F" w14:textId="7C6CEA37" w:rsidR="00D55D28" w:rsidRPr="009B772A" w:rsidRDefault="00D55D28" w:rsidP="00D55D28">
      <w:pPr>
        <w:spacing w:line="257" w:lineRule="auto"/>
      </w:pPr>
      <w:r w:rsidRPr="009B772A">
        <w:rPr>
          <w:rFonts w:eastAsia="Calibri" w:cs="Calibri"/>
        </w:rPr>
        <w:t>Reflective Practice in Teaching</w:t>
      </w:r>
    </w:p>
    <w:p w14:paraId="2F86E696" w14:textId="77777777" w:rsidR="00D12558" w:rsidRPr="009B772A" w:rsidRDefault="00D12558" w:rsidP="00D12558">
      <w:pPr>
        <w:pStyle w:val="ListParagraph"/>
        <w:numPr>
          <w:ilvl w:val="0"/>
          <w:numId w:val="3"/>
        </w:numPr>
        <w:spacing w:line="257" w:lineRule="auto"/>
        <w:rPr>
          <w:rFonts w:eastAsia="Calibri" w:cs="Calibri"/>
        </w:rPr>
      </w:pPr>
      <w:r w:rsidRPr="7E6DC74E">
        <w:rPr>
          <w:rFonts w:eastAsia="Calibri" w:cs="Calibri"/>
        </w:rPr>
        <w:t>Documentation of reflection and instructional decision-making</w:t>
      </w:r>
    </w:p>
    <w:p w14:paraId="3BA8CCB6" w14:textId="0BCD7D84" w:rsidR="003A2989" w:rsidRDefault="000359C0" w:rsidP="000359C0">
      <w:pPr>
        <w:pStyle w:val="Heading2"/>
      </w:pPr>
      <w:r>
        <w:t>Scholarly, Creative, and Professional Activity Evidence</w:t>
      </w:r>
    </w:p>
    <w:p w14:paraId="27879F74" w14:textId="77777777" w:rsidR="004778C9" w:rsidRDefault="004778C9" w:rsidP="004778C9">
      <w:r>
        <w:t>Scholarly, Creative, and Professional Activity</w:t>
      </w:r>
    </w:p>
    <w:p w14:paraId="18FCDE17" w14:textId="5915CB8F" w:rsidR="004778C9" w:rsidRDefault="004778C9" w:rsidP="004778C9">
      <w:pPr>
        <w:pStyle w:val="ListParagraph"/>
        <w:numPr>
          <w:ilvl w:val="0"/>
          <w:numId w:val="5"/>
        </w:numPr>
      </w:pPr>
      <w:r>
        <w:t>Publications in refereed journals or books</w:t>
      </w:r>
      <w:r w:rsidR="00BC3B50">
        <w:t xml:space="preserve"> (including book reviews)</w:t>
      </w:r>
    </w:p>
    <w:p w14:paraId="37E0CDA1" w14:textId="77777777" w:rsidR="004778C9" w:rsidRDefault="004778C9" w:rsidP="004778C9">
      <w:pPr>
        <w:pStyle w:val="ListParagraph"/>
        <w:numPr>
          <w:ilvl w:val="0"/>
          <w:numId w:val="5"/>
        </w:numPr>
      </w:pPr>
      <w:r>
        <w:t>Presentations at professional meetings</w:t>
      </w:r>
    </w:p>
    <w:p w14:paraId="463D78F2" w14:textId="77777777" w:rsidR="004778C9" w:rsidRDefault="004778C9" w:rsidP="004778C9">
      <w:pPr>
        <w:pStyle w:val="ListParagraph"/>
        <w:numPr>
          <w:ilvl w:val="0"/>
          <w:numId w:val="5"/>
        </w:numPr>
      </w:pPr>
      <w:r>
        <w:t>Funded grants obtained to conduct research</w:t>
      </w:r>
    </w:p>
    <w:p w14:paraId="3F55C57D" w14:textId="77777777" w:rsidR="004778C9" w:rsidRDefault="004778C9" w:rsidP="004778C9">
      <w:pPr>
        <w:pStyle w:val="ListParagraph"/>
        <w:numPr>
          <w:ilvl w:val="0"/>
          <w:numId w:val="5"/>
        </w:numPr>
      </w:pPr>
      <w:r>
        <w:t>Published works cited in publications by other scholars</w:t>
      </w:r>
    </w:p>
    <w:p w14:paraId="588623A0" w14:textId="77777777" w:rsidR="004778C9" w:rsidRDefault="004778C9" w:rsidP="004778C9">
      <w:pPr>
        <w:pStyle w:val="ListParagraph"/>
        <w:numPr>
          <w:ilvl w:val="0"/>
          <w:numId w:val="5"/>
        </w:numPr>
      </w:pPr>
      <w:r>
        <w:t>Publication of textbooks that integrate the knowledge base</w:t>
      </w:r>
    </w:p>
    <w:p w14:paraId="2D119B73" w14:textId="77777777" w:rsidR="004778C9" w:rsidRDefault="004778C9" w:rsidP="004778C9">
      <w:pPr>
        <w:pStyle w:val="ListParagraph"/>
        <w:numPr>
          <w:ilvl w:val="0"/>
          <w:numId w:val="5"/>
        </w:numPr>
      </w:pPr>
      <w:r>
        <w:t>Publication of instructor manuals, workbooks, study guides</w:t>
      </w:r>
    </w:p>
    <w:p w14:paraId="17855AF4" w14:textId="77777777" w:rsidR="004778C9" w:rsidRDefault="004778C9" w:rsidP="004778C9">
      <w:pPr>
        <w:pStyle w:val="ListParagraph"/>
        <w:numPr>
          <w:ilvl w:val="0"/>
          <w:numId w:val="5"/>
        </w:numPr>
      </w:pPr>
      <w:r>
        <w:t>Translation of scholarly/literary works</w:t>
      </w:r>
    </w:p>
    <w:p w14:paraId="71FF03C0" w14:textId="050899DB" w:rsidR="004778C9" w:rsidRDefault="004778C9" w:rsidP="004778C9">
      <w:pPr>
        <w:pStyle w:val="ListParagraph"/>
        <w:numPr>
          <w:ilvl w:val="0"/>
          <w:numId w:val="5"/>
        </w:numPr>
      </w:pPr>
      <w:r>
        <w:t>Referee or reviewer of articles, chapters, books, or other professional materials</w:t>
      </w:r>
    </w:p>
    <w:p w14:paraId="5F3FD708" w14:textId="77777777" w:rsidR="004778C9" w:rsidRDefault="004778C9" w:rsidP="004778C9">
      <w:pPr>
        <w:pStyle w:val="ListParagraph"/>
        <w:numPr>
          <w:ilvl w:val="0"/>
          <w:numId w:val="5"/>
        </w:numPr>
      </w:pPr>
      <w:r>
        <w:t>Editor for a book of readings (published by a professional organization or nationally recognized publishing house)</w:t>
      </w:r>
    </w:p>
    <w:p w14:paraId="2F293888" w14:textId="77777777" w:rsidR="004778C9" w:rsidRDefault="004778C9" w:rsidP="004778C9">
      <w:pPr>
        <w:pStyle w:val="ListParagraph"/>
        <w:numPr>
          <w:ilvl w:val="0"/>
          <w:numId w:val="5"/>
        </w:numPr>
      </w:pPr>
      <w:r>
        <w:t>Editorial Board responsibilities for an international, national, regional, or state journal</w:t>
      </w:r>
    </w:p>
    <w:p w14:paraId="5B6A7F17" w14:textId="77777777" w:rsidR="004778C9" w:rsidRDefault="004778C9" w:rsidP="004778C9">
      <w:pPr>
        <w:pStyle w:val="ListParagraph"/>
        <w:numPr>
          <w:ilvl w:val="0"/>
          <w:numId w:val="5"/>
        </w:numPr>
      </w:pPr>
      <w:r>
        <w:t>Research awards and recognitions</w:t>
      </w:r>
    </w:p>
    <w:p w14:paraId="1F9A6C59" w14:textId="77777777" w:rsidR="004778C9" w:rsidRDefault="004778C9" w:rsidP="004778C9">
      <w:pPr>
        <w:pStyle w:val="ListParagraph"/>
        <w:numPr>
          <w:ilvl w:val="0"/>
          <w:numId w:val="5"/>
        </w:numPr>
      </w:pPr>
      <w:r>
        <w:t>Contracted to help solve practical problems in educational settings by applying professional theory, conceptions, methods, and findings, such as action research projects, grants obtained to conduct such scholarship, etc.</w:t>
      </w:r>
    </w:p>
    <w:p w14:paraId="023B67C1" w14:textId="77777777" w:rsidR="004778C9" w:rsidRDefault="004778C9" w:rsidP="004778C9">
      <w:pPr>
        <w:pStyle w:val="ListParagraph"/>
        <w:numPr>
          <w:ilvl w:val="0"/>
          <w:numId w:val="5"/>
        </w:numPr>
      </w:pPr>
      <w:r>
        <w:t>Disseminated research findings to the broader educator preparation community through consultation, professional development workshops and/or seminars</w:t>
      </w:r>
    </w:p>
    <w:p w14:paraId="3C080D49" w14:textId="77777777" w:rsidR="004778C9" w:rsidRDefault="004778C9" w:rsidP="004778C9">
      <w:pPr>
        <w:pStyle w:val="ListParagraph"/>
        <w:numPr>
          <w:ilvl w:val="0"/>
          <w:numId w:val="5"/>
        </w:numPr>
      </w:pPr>
      <w:r>
        <w:t>Development and/or dissemination of scholarly materials designed for professional development (i.e., professional consulting; designing resources; creating a website, blog, or other digital tool)</w:t>
      </w:r>
    </w:p>
    <w:p w14:paraId="1BF28FE0" w14:textId="77777777" w:rsidR="004778C9" w:rsidRDefault="004778C9" w:rsidP="004778C9">
      <w:pPr>
        <w:pStyle w:val="ListParagraph"/>
        <w:numPr>
          <w:ilvl w:val="0"/>
          <w:numId w:val="5"/>
        </w:numPr>
      </w:pPr>
      <w:r>
        <w:t>Commissioned to prepare evaluation and research reports</w:t>
      </w:r>
    </w:p>
    <w:p w14:paraId="43865380" w14:textId="77777777" w:rsidR="004778C9" w:rsidRDefault="004778C9" w:rsidP="004778C9">
      <w:pPr>
        <w:pStyle w:val="ListParagraph"/>
        <w:numPr>
          <w:ilvl w:val="0"/>
          <w:numId w:val="5"/>
        </w:numPr>
      </w:pPr>
      <w:r>
        <w:t>Editorial, curatorial, or community education projects</w:t>
      </w:r>
    </w:p>
    <w:p w14:paraId="133E2826" w14:textId="77777777" w:rsidR="004778C9" w:rsidRDefault="004778C9" w:rsidP="004778C9">
      <w:pPr>
        <w:pStyle w:val="ListParagraph"/>
        <w:numPr>
          <w:ilvl w:val="0"/>
          <w:numId w:val="5"/>
        </w:numPr>
      </w:pPr>
      <w:r>
        <w:t>Preparation of accreditation reports involving scholarly knowledge/expertise</w:t>
      </w:r>
    </w:p>
    <w:p w14:paraId="051C3DAF" w14:textId="493EA89E" w:rsidR="004778C9" w:rsidRDefault="004778C9" w:rsidP="004778C9">
      <w:pPr>
        <w:pStyle w:val="ListParagraph"/>
        <w:numPr>
          <w:ilvl w:val="0"/>
          <w:numId w:val="5"/>
        </w:numPr>
      </w:pPr>
      <w:r>
        <w:lastRenderedPageBreak/>
        <w:t>Collaboration with students on extensive projects and research that involve professional peer review</w:t>
      </w:r>
    </w:p>
    <w:p w14:paraId="27770CD6" w14:textId="77777777" w:rsidR="004778C9" w:rsidRDefault="004778C9" w:rsidP="004778C9">
      <w:r>
        <w:t>Engagement in Professional Development Activities</w:t>
      </w:r>
    </w:p>
    <w:p w14:paraId="38FE2FE4" w14:textId="77777777" w:rsidR="00A51C69" w:rsidRDefault="00A51C69" w:rsidP="00A51C69">
      <w:pPr>
        <w:pStyle w:val="ListParagraph"/>
        <w:numPr>
          <w:ilvl w:val="0"/>
          <w:numId w:val="5"/>
        </w:numPr>
        <w:spacing w:line="257" w:lineRule="auto"/>
        <w:rPr>
          <w:rFonts w:eastAsia="Calibri" w:cs="Calibri"/>
        </w:rPr>
      </w:pPr>
      <w:r>
        <w:rPr>
          <w:rFonts w:eastAsia="Calibri" w:cs="Calibri"/>
        </w:rPr>
        <w:t>Documentation of participation in activities, workshops, conferences, or other specialized training programs designed to improve teaching/supervision</w:t>
      </w:r>
    </w:p>
    <w:p w14:paraId="0A801114" w14:textId="77777777" w:rsidR="00A51C69" w:rsidRPr="00CC3642" w:rsidRDefault="00A51C69" w:rsidP="00A51C69">
      <w:pPr>
        <w:pStyle w:val="ListParagraph"/>
        <w:numPr>
          <w:ilvl w:val="0"/>
          <w:numId w:val="5"/>
        </w:numPr>
        <w:spacing w:line="257" w:lineRule="auto"/>
        <w:rPr>
          <w:rFonts w:eastAsia="Calibri" w:cs="Calibri"/>
        </w:rPr>
      </w:pPr>
      <w:r>
        <w:rPr>
          <w:rFonts w:eastAsia="Calibri" w:cs="Calibri"/>
        </w:rPr>
        <w:t>Documentation of participation in activities, workshops, conferences, or other specialized training programs designed to improve scholarly/professional expertise</w:t>
      </w:r>
    </w:p>
    <w:p w14:paraId="1D34324E" w14:textId="77777777" w:rsidR="004778C9" w:rsidRDefault="004778C9" w:rsidP="004778C9">
      <w:pPr>
        <w:pStyle w:val="ListParagraph"/>
        <w:numPr>
          <w:ilvl w:val="0"/>
          <w:numId w:val="5"/>
        </w:numPr>
      </w:pPr>
      <w:r>
        <w:t>Unfunded grant applications (evidence that a grant was submitted and reviewed must be provided)</w:t>
      </w:r>
    </w:p>
    <w:p w14:paraId="4A962F2A" w14:textId="77777777" w:rsidR="004778C9" w:rsidRDefault="004778C9" w:rsidP="004778C9">
      <w:pPr>
        <w:pStyle w:val="ListParagraph"/>
        <w:numPr>
          <w:ilvl w:val="0"/>
          <w:numId w:val="5"/>
        </w:numPr>
      </w:pPr>
      <w:r>
        <w:t>Articles submitted for review but not accepted for publication (evidence that the article was submitted and reviewed must be provided)</w:t>
      </w:r>
    </w:p>
    <w:p w14:paraId="128E7045" w14:textId="127C2786" w:rsidR="00CA6874" w:rsidRDefault="00CA6874" w:rsidP="00CA6874">
      <w:pPr>
        <w:pStyle w:val="Heading2"/>
      </w:pPr>
      <w:r>
        <w:t>Service Evidence</w:t>
      </w:r>
    </w:p>
    <w:p w14:paraId="3E5A8E0E" w14:textId="5A8F49E7" w:rsidR="0053406D" w:rsidRDefault="00510CDD" w:rsidP="0053406D">
      <w:r>
        <w:t>Genuine contributions to program, college, and/or university governance</w:t>
      </w:r>
    </w:p>
    <w:p w14:paraId="34D3E0B0" w14:textId="5415C6BE" w:rsidR="0053406D" w:rsidRDefault="00510CDD" w:rsidP="0053406D">
      <w:pPr>
        <w:pStyle w:val="ListParagraph"/>
        <w:numPr>
          <w:ilvl w:val="0"/>
          <w:numId w:val="10"/>
        </w:numPr>
      </w:pPr>
      <w:r>
        <w:t>Evidence of active participation on university, college, and/or departmental committees and governance</w:t>
      </w:r>
    </w:p>
    <w:p w14:paraId="6D5C0855" w14:textId="34A2D3D0" w:rsidR="00510CDD" w:rsidRDefault="00510CDD" w:rsidP="0053406D">
      <w:pPr>
        <w:pStyle w:val="ListParagraph"/>
        <w:numPr>
          <w:ilvl w:val="0"/>
          <w:numId w:val="10"/>
        </w:numPr>
      </w:pPr>
      <w:r>
        <w:t xml:space="preserve">Evidence of leadership on university, college, and/or departmental </w:t>
      </w:r>
      <w:r w:rsidR="00AA1D37">
        <w:t>committees</w:t>
      </w:r>
    </w:p>
    <w:p w14:paraId="77CE783B" w14:textId="1A555F63" w:rsidR="0053406D" w:rsidRDefault="00AA1D37" w:rsidP="00AA1D37">
      <w:pPr>
        <w:pStyle w:val="ListParagraph"/>
        <w:numPr>
          <w:ilvl w:val="0"/>
          <w:numId w:val="10"/>
        </w:numPr>
      </w:pPr>
      <w:r>
        <w:t>Evidence of an award for service to the university or college</w:t>
      </w:r>
    </w:p>
    <w:p w14:paraId="4C86000A" w14:textId="5C71E015" w:rsidR="0053406D" w:rsidRDefault="00AA1D37" w:rsidP="0053406D">
      <w:r>
        <w:t>Participating in activities related to curriculum and program development</w:t>
      </w:r>
    </w:p>
    <w:p w14:paraId="218ABE64" w14:textId="703C8008" w:rsidR="0053406D" w:rsidRDefault="00AA1D37" w:rsidP="0053406D">
      <w:pPr>
        <w:pStyle w:val="ListParagraph"/>
        <w:numPr>
          <w:ilvl w:val="0"/>
          <w:numId w:val="11"/>
        </w:numPr>
      </w:pPr>
      <w:r>
        <w:t>Letters of support from colleagues, school divisions, and other community stakeholders describing professional service contributions to curriculum and program development</w:t>
      </w:r>
    </w:p>
    <w:p w14:paraId="51ACEEDF" w14:textId="0C1A1D2F" w:rsidR="00AA1D37" w:rsidRDefault="00AA1D37" w:rsidP="0053406D">
      <w:pPr>
        <w:pStyle w:val="ListParagraph"/>
        <w:numPr>
          <w:ilvl w:val="0"/>
          <w:numId w:val="11"/>
        </w:numPr>
      </w:pPr>
      <w:r>
        <w:t>Evidence of activity (reports, evaluations, etc.) related to curriculum and program development</w:t>
      </w:r>
    </w:p>
    <w:p w14:paraId="2C3B93F0" w14:textId="1F20A1D4" w:rsidR="00AA1D37" w:rsidRDefault="00AA1D37" w:rsidP="00AA1D37">
      <w:r>
        <w:t>Demonstrating a commitment to professional integrity and advancement</w:t>
      </w:r>
    </w:p>
    <w:p w14:paraId="3F3E7EA5" w14:textId="6CD711B1" w:rsidR="00AA1D37" w:rsidRDefault="00AA1D37" w:rsidP="00AA1D37">
      <w:pPr>
        <w:pStyle w:val="ListParagraph"/>
        <w:numPr>
          <w:ilvl w:val="0"/>
          <w:numId w:val="12"/>
        </w:numPr>
      </w:pPr>
      <w:r>
        <w:t>Evidence of active participation in professional organizations, including support of student organizations</w:t>
      </w:r>
    </w:p>
    <w:p w14:paraId="405EFDE8" w14:textId="67D001EB" w:rsidR="00AA1D37" w:rsidRDefault="00AA1D37" w:rsidP="00AA1D37">
      <w:pPr>
        <w:pStyle w:val="ListParagraph"/>
        <w:numPr>
          <w:ilvl w:val="0"/>
          <w:numId w:val="12"/>
        </w:numPr>
      </w:pPr>
      <w:r>
        <w:t>Evidence of professional leadership, responsibilities, and support directly related to areas of expertise and/or the good of the profession</w:t>
      </w:r>
    </w:p>
    <w:p w14:paraId="74F5C78C" w14:textId="3BFC8248" w:rsidR="00AA1D37" w:rsidRDefault="00AA1D37" w:rsidP="00AA1D37">
      <w:pPr>
        <w:pStyle w:val="ListParagraph"/>
        <w:numPr>
          <w:ilvl w:val="0"/>
          <w:numId w:val="12"/>
        </w:numPr>
      </w:pPr>
      <w:r>
        <w:t>Letters of support from colleagues, school divisions, and other community stakeholders describing professional service contributions</w:t>
      </w:r>
    </w:p>
    <w:p w14:paraId="78DB29EF" w14:textId="5BD4DB60" w:rsidR="00AA1D37" w:rsidRDefault="00AA1D37" w:rsidP="00AA1D37">
      <w:pPr>
        <w:pStyle w:val="ListParagraph"/>
        <w:numPr>
          <w:ilvl w:val="0"/>
          <w:numId w:val="12"/>
        </w:numPr>
      </w:pPr>
      <w:r>
        <w:t>Awards or recognition for service, including service-based grant awards</w:t>
      </w:r>
    </w:p>
    <w:p w14:paraId="158B19F6" w14:textId="63B27377" w:rsidR="00F91E49" w:rsidRDefault="00F91E49" w:rsidP="00BE73B8">
      <w:pPr>
        <w:pStyle w:val="Heading1"/>
      </w:pPr>
      <w:r>
        <w:lastRenderedPageBreak/>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5040BFBE" w14:textId="749CF971" w:rsidR="00C55BED" w:rsidRPr="00C55BED" w:rsidRDefault="00C55BED" w:rsidP="00C55BED">
      <w:r>
        <w:t>Note: Faculty on renewable-term contracts are expected to devote the most attention to the category of teaching, but not to the exclusion of scholarship and service.</w:t>
      </w:r>
    </w:p>
    <w:p w14:paraId="2CAEBBBD" w14:textId="619800D6" w:rsidR="00F152CE" w:rsidRDefault="00F152CE" w:rsidP="00F152CE">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1D983F91">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1D983F91">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36A405E" w14:textId="391556BF" w:rsidR="00B1642C" w:rsidRDefault="00D40AEF" w:rsidP="00BE73B8">
            <w:r>
              <w:t>The candidate must demonstrate a pattern of effective teaching during the evaluation period, as indicated by evidence from multiple sources, including (but not limited to): student feedback, colleagues’ testimonials, quality of syllabi, assignments, and assessments. Candidates also fulfill assigned duties in academic advising. Similarly, the University recognizes the value of contributions to the curriculum, course improvement based on reflection on content and method, and development of new courses and/or programs.</w:t>
            </w:r>
            <w:r w:rsidR="00F637AB">
              <w:t xml:space="preserve"> (See the list of potential evidence sources earlier in this document.)</w:t>
            </w:r>
          </w:p>
        </w:tc>
      </w:tr>
    </w:tbl>
    <w:p w14:paraId="2656141C" w14:textId="2F58333A" w:rsidR="00BE73B8" w:rsidRDefault="00BE73B8" w:rsidP="00BE73B8"/>
    <w:p w14:paraId="15A88890" w14:textId="1FF11004" w:rsidR="00BE73B8" w:rsidRDefault="00F91E49" w:rsidP="00F91E49">
      <w:pPr>
        <w:pStyle w:val="Heading2"/>
      </w:pPr>
      <w:r>
        <w:lastRenderedPageBreak/>
        <w:t xml:space="preserve">Departmental </w:t>
      </w:r>
      <w:r w:rsidR="00BE73B8">
        <w:t>Guidelines for Scholarly, Creative, and Professional Activity</w:t>
      </w:r>
      <w:r w:rsidR="00475FB4">
        <w:t xml:space="preserve"> (Promotion to Senior Lecturer)</w:t>
      </w:r>
    </w:p>
    <w:p w14:paraId="26C18575" w14:textId="011C7CD1" w:rsidR="00F152CE" w:rsidRDefault="00F152CE" w:rsidP="00F152CE">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33938D7" w14:textId="0A235759" w:rsidR="000D176F" w:rsidRDefault="00812ECB" w:rsidP="00542FB0">
            <w:r>
              <w:t>The candidate must demonstrate that they have engaged in professional activity that goes beyond the expected reading one must do and the conferences and workshops one must attend to maintain currency in one’s profession or discipline.</w:t>
            </w:r>
            <w:r w:rsidR="00E25327">
              <w:t xml:space="preserve"> (See the list of potential evidence sources earlier in this document.)</w:t>
            </w:r>
          </w:p>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7068FA42" w14:textId="7E6DF005" w:rsidR="00F152CE" w:rsidRDefault="00F152CE" w:rsidP="00F152CE">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 xml:space="preserve">7.3.3.1 Criteria for Promotion to Senior Lecturer, Promotion to Associate </w:t>
            </w:r>
            <w:r w:rsidRPr="006E295B">
              <w:rPr>
                <w:b/>
                <w:bCs/>
              </w:rPr>
              <w:lastRenderedPageBreak/>
              <w:t>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0652E80" w14:textId="6EE84D3C" w:rsidR="007F04C2" w:rsidRDefault="00B066DA">
            <w:r>
              <w:lastRenderedPageBreak/>
              <w:t xml:space="preserve">The candidate must demonstrate continuing and active participation on </w:t>
            </w:r>
            <w:r>
              <w:lastRenderedPageBreak/>
              <w:t>college, college and university committees, beyond attendance at meetings. Participation in curriculum and program development, as well as participation in service to the Profession outside the University is expected.</w:t>
            </w:r>
            <w:r w:rsidR="00E953C8">
              <w:t xml:space="preserve"> (See the list of potential evidence sources earlier in this document.)</w:t>
            </w:r>
          </w:p>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338B0462" w14:textId="0D3ECA14" w:rsidR="009C2AE5" w:rsidRPr="009C2AE5" w:rsidRDefault="009C2AE5" w:rsidP="009C2AE5">
      <w:r>
        <w:t>Note: While the</w:t>
      </w:r>
      <w:r w:rsidR="00F614B5">
        <w:t xml:space="preserve"> universal</w:t>
      </w:r>
      <w:r>
        <w:t xml:space="preserve"> </w:t>
      </w:r>
      <w:r w:rsidR="00F614B5">
        <w:t xml:space="preserve">criteria, and therefore the </w:t>
      </w:r>
      <w:r>
        <w:t>departmental guidelines</w:t>
      </w:r>
      <w:r w:rsidR="00F614B5">
        <w:t>,</w:t>
      </w:r>
      <w:r>
        <w:t xml:space="preserve"> for promotion to the rank of Associate Professor and receiving </w:t>
      </w:r>
      <w:r w:rsidR="00797183">
        <w:t>tenure are the same</w:t>
      </w:r>
      <w:r w:rsidR="00D77CEA">
        <w:t xml:space="preserve">, </w:t>
      </w:r>
      <w:r w:rsidR="00DF05AA">
        <w:t>candidates should be aware that tenure is not automatically granted upon promotion to Associate Professor.</w:t>
      </w:r>
    </w:p>
    <w:p w14:paraId="598A32EA" w14:textId="31C19D73" w:rsidR="00F152CE" w:rsidRDefault="00F152CE" w:rsidP="00F152CE">
      <w:pPr>
        <w:pStyle w:val="Caption"/>
        <w:keepNext/>
      </w:pPr>
      <w:r>
        <w:t xml:space="preserve">Table </w:t>
      </w:r>
      <w:fldSimple w:instr=" SEQ Table \* ARABIC ">
        <w:r>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7E6DC74E">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7E6DC74E">
        <w:tc>
          <w:tcPr>
            <w:tcW w:w="4675" w:type="dxa"/>
          </w:tcPr>
          <w:p w14:paraId="676CD2B3" w14:textId="77777777" w:rsidR="001B6F77" w:rsidRDefault="001B6F77">
            <w:r w:rsidRPr="002F5B27">
              <w:rPr>
                <w:b/>
                <w:bCs/>
              </w:rPr>
              <w:t>7.3.1 GENERAL CRITERIA FOR TEACHING</w:t>
            </w:r>
            <w:r w:rsidRPr="002F5B27">
              <w:t xml:space="preserve"> The candidate for promotion and/or tenure </w:t>
            </w:r>
            <w:r w:rsidRPr="002F5B27">
              <w:lastRenderedPageBreak/>
              <w:t>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03A41A30" w14:textId="44AA585D" w:rsidR="006457F2" w:rsidRDefault="00A34FB9" w:rsidP="1D983F91">
            <w:pPr>
              <w:spacing w:after="160" w:line="257" w:lineRule="auto"/>
            </w:pPr>
            <w:r>
              <w:lastRenderedPageBreak/>
              <w:t xml:space="preserve">The award of tenure in the College of Education requires evidence of the faculty </w:t>
            </w:r>
            <w:r>
              <w:lastRenderedPageBreak/>
              <w:t>member’s sustained commitment to classroom instruction as well as sustained effectiveness as a contributor to the intellectual development of students.</w:t>
            </w:r>
            <w:r w:rsidR="000452BF">
              <w:t xml:space="preserve"> </w:t>
            </w:r>
            <w:r w:rsidR="009C44EF">
              <w:t xml:space="preserve">Student evaluation data </w:t>
            </w:r>
            <w:r w:rsidR="00192D2F">
              <w:t>should be</w:t>
            </w:r>
            <w:r w:rsidR="009C44EF">
              <w:t xml:space="preserve"> part of the evidence</w:t>
            </w:r>
            <w:r w:rsidR="4540E126">
              <w:t xml:space="preserve"> </w:t>
            </w:r>
            <w:r w:rsidR="009C44EF">
              <w:t xml:space="preserve">but are not sufficient by themselves. Students are important judges of a teacher’s fairness, organization, and personal qualities in the classroom, the field, or the office, but the faculty member’s colleagues within and outside of the </w:t>
            </w:r>
            <w:r w:rsidR="009B772A">
              <w:t xml:space="preserve">department and/or </w:t>
            </w:r>
            <w:r w:rsidR="009C44EF">
              <w:t>College are also significant judges of the candidate’s pedagogy.</w:t>
            </w:r>
          </w:p>
          <w:p w14:paraId="54DC04A7" w14:textId="7E56DF11" w:rsidR="001B6F77" w:rsidRPr="00EE2F32" w:rsidRDefault="00CA559C" w:rsidP="00EE2F32">
            <w:pPr>
              <w:spacing w:after="160" w:line="257" w:lineRule="auto"/>
              <w:rPr>
                <w:rFonts w:ascii="Calibri" w:eastAsia="Calibri" w:hAnsi="Calibri" w:cs="Calibri"/>
                <w:sz w:val="22"/>
                <w:szCs w:val="22"/>
              </w:rPr>
            </w:pPr>
            <w:r>
              <w:t>The expectation is that the cumulative record of the faculty member’s teaching during the probationary period demonstrates a broad and sustained pattern of achievement and growth in teaching</w:t>
            </w:r>
            <w:r w:rsidR="00227E62">
              <w:t>.</w:t>
            </w:r>
            <w:r w:rsidR="00122DEA">
              <w:t xml:space="preserve"> </w:t>
            </w:r>
            <w:r w:rsidR="009D21F5">
              <w:t>(See the list of potential evidence sources earlier in this document.)</w:t>
            </w:r>
          </w:p>
        </w:tc>
      </w:tr>
    </w:tbl>
    <w:p w14:paraId="7FE498A8" w14:textId="4EB02803" w:rsidR="00811B52" w:rsidRDefault="00811B52" w:rsidP="00811B52"/>
    <w:p w14:paraId="7FC15259" w14:textId="13BD58E9" w:rsidR="00811B52" w:rsidRDefault="00811B52" w:rsidP="00811B52">
      <w:pPr>
        <w:pStyle w:val="Heading2"/>
      </w:pPr>
      <w:r>
        <w:t>Departmental Guidelines for Scholarly, Creative, and Professional Activity</w:t>
      </w:r>
      <w:r w:rsidR="00475FB4">
        <w:t xml:space="preserve"> (</w:t>
      </w:r>
      <w:r w:rsidR="00475FB4" w:rsidRPr="00475FB4">
        <w:t>Promotion to Associate Professor and/or Tenure</w:t>
      </w:r>
      <w:r w:rsidR="00475FB4">
        <w:t>)</w:t>
      </w:r>
    </w:p>
    <w:p w14:paraId="6E01FFB1" w14:textId="15898241" w:rsidR="00F152CE" w:rsidRDefault="00F152CE" w:rsidP="00F152CE">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78421849">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78421849">
        <w:tc>
          <w:tcPr>
            <w:tcW w:w="4675" w:type="dxa"/>
          </w:tcPr>
          <w:p w14:paraId="71D50E4D" w14:textId="0A35AFCB" w:rsidR="0057299D" w:rsidRDefault="00073447">
            <w:r w:rsidRPr="00073447">
              <w:rPr>
                <w:b/>
                <w:bCs/>
              </w:rPr>
              <w:t>7.3.2.2 Criteria for Promotion to Associate Professor and/or Tenure</w:t>
            </w:r>
            <w:r w:rsidRPr="00073447">
              <w:t xml:space="preserve">    The candidate will demonstrate that they have contributed to their discipline and/or </w:t>
            </w:r>
            <w:r w:rsidRPr="00073447">
              <w:lastRenderedPageBreak/>
              <w:t xml:space="preserve">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t>
            </w:r>
            <w:r w:rsidR="00FA54E3">
              <w:t>receiving</w:t>
            </w:r>
            <w:r w:rsidR="00FA54E3" w:rsidRPr="00073447">
              <w:t xml:space="preserve"> </w:t>
            </w:r>
            <w:r w:rsidRPr="00073447">
              <w:t xml:space="preserve">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6C6E990" w14:textId="1C65A8FD" w:rsidR="00A7493C" w:rsidRDefault="00603EC5" w:rsidP="00416B72">
            <w:r>
              <w:lastRenderedPageBreak/>
              <w:t xml:space="preserve">Candidates for tenure in the College of Education should demonstrate significant engagement in scholarship activities. </w:t>
            </w:r>
            <w:r w:rsidR="00B2548E">
              <w:t>Scholarship includes scholarly</w:t>
            </w:r>
            <w:r w:rsidR="00E93B76">
              <w:t>/creative</w:t>
            </w:r>
            <w:r w:rsidR="00B2548E">
              <w:t xml:space="preserve"> </w:t>
            </w:r>
            <w:r w:rsidR="00B2548E">
              <w:lastRenderedPageBreak/>
              <w:t>activity</w:t>
            </w:r>
            <w:r w:rsidR="00E93B76">
              <w:t xml:space="preserve"> and professional activity</w:t>
            </w:r>
            <w:r w:rsidR="00B2548E">
              <w:t xml:space="preserve"> that have undergone some type of peer review indicating that it has been accepted as a contribution to the education field. </w:t>
            </w:r>
            <w:r w:rsidR="00E93B76">
              <w:t xml:space="preserve">Scholarly activity involves the scholarship of discovery and integration, usually shared through more traditional publication methods. Creative activity may include such things as development and dissemination of innovative classroom teaching materials, instructional media, etc. </w:t>
            </w:r>
            <w:r w:rsidR="00A7493C">
              <w:t xml:space="preserve">Professional activity involves shared expertise for the benefit of educators beyond the faculty member’s instructional activities within the </w:t>
            </w:r>
            <w:r w:rsidR="00E93B76">
              <w:t>e</w:t>
            </w:r>
            <w:r w:rsidR="00A7493C">
              <w:t>ducation</w:t>
            </w:r>
            <w:r w:rsidR="00E93B76">
              <w:t xml:space="preserve"> department</w:t>
            </w:r>
            <w:r w:rsidR="00A7493C">
              <w:t xml:space="preserve">. An additional category, professional development, refers to growth experienced by the individual </w:t>
            </w:r>
            <w:proofErr w:type="gramStart"/>
            <w:r w:rsidR="00A7493C">
              <w:t>as a result of</w:t>
            </w:r>
            <w:proofErr w:type="gramEnd"/>
            <w:r w:rsidR="00A7493C">
              <w:t xml:space="preserve"> scholarship or professional development activities that did not undergo or pass the peer review process.</w:t>
            </w:r>
          </w:p>
          <w:p w14:paraId="2057F330" w14:textId="77777777" w:rsidR="00A7493C" w:rsidRDefault="00A7493C" w:rsidP="00416B72"/>
          <w:p w14:paraId="15928966" w14:textId="6CCC0513" w:rsidR="00416B72" w:rsidRDefault="007F2BA9" w:rsidP="004778C9">
            <w:r>
              <w:t>The expectation is that the cumulative record of the faculty member’s scholarship during the probationary period demonstrates a broad and sustained pattern of achievement and growth in scholarship, including scholarship that contributes to the field of education and/or the faculty member’s academic discipline.</w:t>
            </w:r>
            <w:r w:rsidR="004B4E50">
              <w:t xml:space="preserve"> </w:t>
            </w:r>
            <w:r w:rsidR="009242DF">
              <w:t>(See the list of potential evidence sources earlier in this document.)</w:t>
            </w:r>
          </w:p>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2F97402E" w14:textId="3093574A" w:rsidR="00F152CE" w:rsidRDefault="00F152CE" w:rsidP="00F152CE">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t>
            </w:r>
            <w:r w:rsidRPr="006E295B">
              <w:lastRenderedPageBreak/>
              <w:t>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A56D737" w14:textId="2D50CAA8" w:rsidR="00B64BF0" w:rsidRDefault="00646ED2">
            <w:r>
              <w:lastRenderedPageBreak/>
              <w:t>Service to the University</w:t>
            </w:r>
            <w:r w:rsidR="0044141C">
              <w:t xml:space="preserve"> and</w:t>
            </w:r>
            <w:r>
              <w:t xml:space="preserve"> the College</w:t>
            </w:r>
            <w:r w:rsidR="00617FFD">
              <w:t xml:space="preserve"> and/or department</w:t>
            </w:r>
            <w:r>
              <w:t xml:space="preserve"> is an obligation of every faculty member. This service demonstrates </w:t>
            </w:r>
            <w:r>
              <w:lastRenderedPageBreak/>
              <w:t>the faculty member’s commitment to the institution’s integrity and governance and to the advancement of our institutional missions. All faculty members are required to make genuine contributions to institutional governance, through</w:t>
            </w:r>
            <w:r w:rsidR="00DC7BF8">
              <w:t xml:space="preserve"> committees and otherwise; to participate in activities related to curriculum and program development; and to engage in activities that benefit the profession.</w:t>
            </w:r>
          </w:p>
          <w:p w14:paraId="0BCC8DE2" w14:textId="77777777" w:rsidR="006F22FD" w:rsidRDefault="006F22FD"/>
          <w:p w14:paraId="61D3BA9A" w14:textId="5392FF41" w:rsidR="00D669C4" w:rsidRDefault="006F22FD" w:rsidP="001240FF">
            <w:r>
              <w:t>The expectation is that the cumulative record of the faculty member’s service demonstrates a commitment to the Universit</w:t>
            </w:r>
            <w:r w:rsidR="00234191">
              <w:t>y and</w:t>
            </w:r>
            <w:r>
              <w:t xml:space="preserve"> the College</w:t>
            </w:r>
            <w:r w:rsidR="00234191">
              <w:t xml:space="preserve"> and/or department</w:t>
            </w:r>
            <w:r>
              <w:t xml:space="preserve"> during the probationary period. Both the quantity and quality of one’s participation and leadership in service will be considered.</w:t>
            </w:r>
            <w:r w:rsidR="00234191">
              <w:t xml:space="preserve"> </w:t>
            </w:r>
            <w:r w:rsidR="001240FF">
              <w:t>(See the list of potential evidence sources earlier in this document.)</w:t>
            </w:r>
          </w:p>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01CDA5CA" w14:textId="44663E30" w:rsidR="002E5E06" w:rsidRPr="002E5E06" w:rsidRDefault="002E5E06" w:rsidP="002E5E06">
      <w:r>
        <w:t>The candidate must demonstrate continued activities demonstrating the criteria for tenure throughout the period since the promotion to Associate Professor, as well as demonstrating leadership in each category below.</w:t>
      </w:r>
    </w:p>
    <w:p w14:paraId="15079F76" w14:textId="3C5E4A61" w:rsidR="00F152CE" w:rsidRDefault="00F152CE" w:rsidP="00F152CE">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7E6DC74E">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7E6DC74E">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w:t>
            </w:r>
            <w:r w:rsidRPr="002F5B27">
              <w:lastRenderedPageBreak/>
              <w:t>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C3B4D16" w14:textId="79B36283" w:rsidR="001B6F77" w:rsidRDefault="1A8B2AFC" w:rsidP="7E6DC74E">
            <w:pPr>
              <w:rPr>
                <w:rFonts w:ascii="Aptos" w:eastAsia="Aptos" w:hAnsi="Aptos" w:cs="Aptos"/>
                <w:color w:val="000000" w:themeColor="text1"/>
              </w:rPr>
            </w:pPr>
            <w:r>
              <w:lastRenderedPageBreak/>
              <w:t xml:space="preserve">The candidate must demonstrate a pattern of effective teaching during the evaluation period, as indicated by evidence from multiple sources, including (but not limited to): student feedback, colleagues’ </w:t>
            </w:r>
            <w:r>
              <w:lastRenderedPageBreak/>
              <w:t>recommendations, and quality of syllabi, assignments, and assessments. Similarly, the University recognizes the value of contributions to the curriculum, course improvement based on reflection on content and method, and development of new courses and/or programs. The rank of Professor carries with it a recognition that the candidate has made significant value-added contributions to teaching and student success in their field.</w:t>
            </w:r>
            <w:r w:rsidR="677C52E2">
              <w:t xml:space="preserve"> </w:t>
            </w:r>
            <w:r w:rsidR="00F65C2F">
              <w:t>(See the list of potential evidence sources earlier in this document.)</w:t>
            </w:r>
          </w:p>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t>Departmental Guidelines for Scholarly, Creative, and Professional Activity</w:t>
      </w:r>
      <w:r w:rsidR="00475FB4">
        <w:t xml:space="preserve"> (</w:t>
      </w:r>
      <w:r w:rsidR="00475FB4" w:rsidRPr="00475FB4">
        <w:t>Promotion to Full Professor</w:t>
      </w:r>
      <w:r w:rsidR="00475FB4">
        <w:t>)</w:t>
      </w:r>
    </w:p>
    <w:p w14:paraId="755534DD" w14:textId="286E41F8" w:rsidR="00F152CE" w:rsidRDefault="00F152CE" w:rsidP="00F152CE">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48A5AE8D"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w:t>
            </w:r>
            <w:r w:rsidRPr="001544D6">
              <w:lastRenderedPageBreak/>
              <w:t xml:space="preserve">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t>
            </w:r>
            <w:r w:rsidR="00FA54E3">
              <w:t>receiving</w:t>
            </w:r>
            <w:r w:rsidR="00FA54E3" w:rsidRPr="001544D6">
              <w:t xml:space="preserve"> </w:t>
            </w:r>
            <w:r w:rsidRPr="001544D6">
              <w:t xml:space="preserve">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770D2EC" w14:textId="17262CB8" w:rsidR="005A4FF4" w:rsidRPr="003077ED" w:rsidRDefault="00B20E07" w:rsidP="007643C9">
            <w:r>
              <w:lastRenderedPageBreak/>
              <w:t xml:space="preserve">The candidate must demonstrate that they have engaged in professional activity that goes beyond the expected reading one must do and the conferences and workshops one must attend to maintain </w:t>
            </w:r>
            <w:r>
              <w:lastRenderedPageBreak/>
              <w:t xml:space="preserve">currency in one’s profession or discipline. The rank of Professor carries with it a recognition that the candidate is highly regarded in their field and has maintained a continuing record of scholarship and professional development activities. Evidence supporting such recognition should appear in external letters of recommendation and from sources such as frequent and regular conference paper presentations and program participation; holding office in professional organizations; editing a journal, publishing book reviews, journal articles (especially refereed), books, or other printed works; or </w:t>
            </w:r>
            <w:r w:rsidR="00FA54E3">
              <w:t xml:space="preserve">receiving </w:t>
            </w:r>
            <w:r>
              <w:t>a grant.</w:t>
            </w:r>
            <w:r w:rsidR="00540F3E">
              <w:t xml:space="preserve"> </w:t>
            </w:r>
            <w:r w:rsidR="00CD7678">
              <w:t>(See the list of potential evidence sources earlier in this document.)</w:t>
            </w:r>
          </w:p>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0DEDC8D5" w14:textId="486A3F20" w:rsidR="00F152CE" w:rsidRDefault="00F152CE" w:rsidP="00F152CE">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lastRenderedPageBreak/>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BDFA64E" w14:textId="0561EAA0" w:rsidR="007F04C2" w:rsidRDefault="00982ACA">
            <w:r>
              <w:t>The candidate must demonstrate continuing and active participation on college and university committees, beyond attendance at meetings. Candidates also fulfill assigned duties in academic advising. Participation in curriculum and program development, as well as participation in service to the Profession outside the University is expected. The rank of Professor carries with it a recognition that the candidate has taken a leadership role in service during the period since the previous promotion.</w:t>
            </w:r>
            <w:r w:rsidR="001C05D4">
              <w:t xml:space="preserve"> (See the list of potential evidence sources earlier in this document.)</w:t>
            </w:r>
          </w:p>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8CFF" w14:textId="77777777" w:rsidR="00B01D83" w:rsidRDefault="00B01D83" w:rsidP="00FD4E05">
      <w:pPr>
        <w:spacing w:after="0" w:line="240" w:lineRule="auto"/>
      </w:pPr>
      <w:r>
        <w:separator/>
      </w:r>
    </w:p>
  </w:endnote>
  <w:endnote w:type="continuationSeparator" w:id="0">
    <w:p w14:paraId="4CBCC35E" w14:textId="77777777" w:rsidR="00B01D83" w:rsidRDefault="00B01D83"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4A55F42B" w:rsidR="00FD4E05" w:rsidRDefault="00FD4E05" w:rsidP="00FD4E05">
    <w:pPr>
      <w:pStyle w:val="Footer"/>
      <w:jc w:val="right"/>
    </w:pPr>
    <w:r>
      <w:t xml:space="preserve">Approved by UFAC </w:t>
    </w:r>
    <w:r w:rsidR="00740C39">
      <w:t>2/23/26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2018" w14:textId="77777777" w:rsidR="00B01D83" w:rsidRDefault="00B01D83" w:rsidP="00FD4E05">
      <w:pPr>
        <w:spacing w:after="0" w:line="240" w:lineRule="auto"/>
      </w:pPr>
      <w:r>
        <w:separator/>
      </w:r>
    </w:p>
  </w:footnote>
  <w:footnote w:type="continuationSeparator" w:id="0">
    <w:p w14:paraId="23EA4E4A" w14:textId="77777777" w:rsidR="00B01D83" w:rsidRDefault="00B01D83" w:rsidP="00FD4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9068"/>
    <w:multiLevelType w:val="hybridMultilevel"/>
    <w:tmpl w:val="F7CE2782"/>
    <w:lvl w:ilvl="0" w:tplc="EA460B4A">
      <w:start w:val="1"/>
      <w:numFmt w:val="bullet"/>
      <w:lvlText w:val="·"/>
      <w:lvlJc w:val="left"/>
      <w:pPr>
        <w:ind w:left="720" w:hanging="360"/>
      </w:pPr>
      <w:rPr>
        <w:rFonts w:ascii="Symbol" w:hAnsi="Symbol" w:hint="default"/>
      </w:rPr>
    </w:lvl>
    <w:lvl w:ilvl="1" w:tplc="87FAE8D6">
      <w:start w:val="1"/>
      <w:numFmt w:val="bullet"/>
      <w:lvlText w:val="o"/>
      <w:lvlJc w:val="left"/>
      <w:pPr>
        <w:ind w:left="1440" w:hanging="360"/>
      </w:pPr>
      <w:rPr>
        <w:rFonts w:ascii="Courier New" w:hAnsi="Courier New" w:hint="default"/>
      </w:rPr>
    </w:lvl>
    <w:lvl w:ilvl="2" w:tplc="F6FA67D4">
      <w:start w:val="1"/>
      <w:numFmt w:val="bullet"/>
      <w:lvlText w:val=""/>
      <w:lvlJc w:val="left"/>
      <w:pPr>
        <w:ind w:left="2160" w:hanging="360"/>
      </w:pPr>
      <w:rPr>
        <w:rFonts w:ascii="Wingdings" w:hAnsi="Wingdings" w:hint="default"/>
      </w:rPr>
    </w:lvl>
    <w:lvl w:ilvl="3" w:tplc="BF06D1E2">
      <w:start w:val="1"/>
      <w:numFmt w:val="bullet"/>
      <w:lvlText w:val=""/>
      <w:lvlJc w:val="left"/>
      <w:pPr>
        <w:ind w:left="2880" w:hanging="360"/>
      </w:pPr>
      <w:rPr>
        <w:rFonts w:ascii="Symbol" w:hAnsi="Symbol" w:hint="default"/>
      </w:rPr>
    </w:lvl>
    <w:lvl w:ilvl="4" w:tplc="6EBE0ACA">
      <w:start w:val="1"/>
      <w:numFmt w:val="bullet"/>
      <w:lvlText w:val="o"/>
      <w:lvlJc w:val="left"/>
      <w:pPr>
        <w:ind w:left="3600" w:hanging="360"/>
      </w:pPr>
      <w:rPr>
        <w:rFonts w:ascii="Courier New" w:hAnsi="Courier New" w:hint="default"/>
      </w:rPr>
    </w:lvl>
    <w:lvl w:ilvl="5" w:tplc="3BD48AF6">
      <w:start w:val="1"/>
      <w:numFmt w:val="bullet"/>
      <w:lvlText w:val=""/>
      <w:lvlJc w:val="left"/>
      <w:pPr>
        <w:ind w:left="4320" w:hanging="360"/>
      </w:pPr>
      <w:rPr>
        <w:rFonts w:ascii="Wingdings" w:hAnsi="Wingdings" w:hint="default"/>
      </w:rPr>
    </w:lvl>
    <w:lvl w:ilvl="6" w:tplc="8A7AFFA2">
      <w:start w:val="1"/>
      <w:numFmt w:val="bullet"/>
      <w:lvlText w:val=""/>
      <w:lvlJc w:val="left"/>
      <w:pPr>
        <w:ind w:left="5040" w:hanging="360"/>
      </w:pPr>
      <w:rPr>
        <w:rFonts w:ascii="Symbol" w:hAnsi="Symbol" w:hint="default"/>
      </w:rPr>
    </w:lvl>
    <w:lvl w:ilvl="7" w:tplc="9FC02ADE">
      <w:start w:val="1"/>
      <w:numFmt w:val="bullet"/>
      <w:lvlText w:val="o"/>
      <w:lvlJc w:val="left"/>
      <w:pPr>
        <w:ind w:left="5760" w:hanging="360"/>
      </w:pPr>
      <w:rPr>
        <w:rFonts w:ascii="Courier New" w:hAnsi="Courier New" w:hint="default"/>
      </w:rPr>
    </w:lvl>
    <w:lvl w:ilvl="8" w:tplc="FE188A50">
      <w:start w:val="1"/>
      <w:numFmt w:val="bullet"/>
      <w:lvlText w:val=""/>
      <w:lvlJc w:val="left"/>
      <w:pPr>
        <w:ind w:left="6480" w:hanging="360"/>
      </w:pPr>
      <w:rPr>
        <w:rFonts w:ascii="Wingdings" w:hAnsi="Wingdings" w:hint="default"/>
      </w:rPr>
    </w:lvl>
  </w:abstractNum>
  <w:abstractNum w:abstractNumId="1" w15:restartNumberingAfterBreak="0">
    <w:nsid w:val="01AF37CD"/>
    <w:multiLevelType w:val="hybridMultilevel"/>
    <w:tmpl w:val="E442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2A11"/>
    <w:multiLevelType w:val="hybridMultilevel"/>
    <w:tmpl w:val="0DEA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443D5"/>
    <w:multiLevelType w:val="hybridMultilevel"/>
    <w:tmpl w:val="ED8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97B97"/>
    <w:multiLevelType w:val="hybridMultilevel"/>
    <w:tmpl w:val="027E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F5A8F"/>
    <w:multiLevelType w:val="hybridMultilevel"/>
    <w:tmpl w:val="3F122B06"/>
    <w:lvl w:ilvl="0" w:tplc="D034E4A2">
      <w:start w:val="1"/>
      <w:numFmt w:val="bullet"/>
      <w:lvlText w:val="·"/>
      <w:lvlJc w:val="left"/>
      <w:pPr>
        <w:ind w:left="720" w:hanging="360"/>
      </w:pPr>
      <w:rPr>
        <w:rFonts w:ascii="Symbol" w:hAnsi="Symbol" w:hint="default"/>
      </w:rPr>
    </w:lvl>
    <w:lvl w:ilvl="1" w:tplc="B20E5CBC">
      <w:start w:val="1"/>
      <w:numFmt w:val="bullet"/>
      <w:lvlText w:val="o"/>
      <w:lvlJc w:val="left"/>
      <w:pPr>
        <w:ind w:left="1440" w:hanging="360"/>
      </w:pPr>
      <w:rPr>
        <w:rFonts w:ascii="Courier New" w:hAnsi="Courier New" w:hint="default"/>
      </w:rPr>
    </w:lvl>
    <w:lvl w:ilvl="2" w:tplc="F3103B92">
      <w:start w:val="1"/>
      <w:numFmt w:val="bullet"/>
      <w:lvlText w:val=""/>
      <w:lvlJc w:val="left"/>
      <w:pPr>
        <w:ind w:left="2160" w:hanging="360"/>
      </w:pPr>
      <w:rPr>
        <w:rFonts w:ascii="Wingdings" w:hAnsi="Wingdings" w:hint="default"/>
      </w:rPr>
    </w:lvl>
    <w:lvl w:ilvl="3" w:tplc="DE2863D2">
      <w:start w:val="1"/>
      <w:numFmt w:val="bullet"/>
      <w:lvlText w:val=""/>
      <w:lvlJc w:val="left"/>
      <w:pPr>
        <w:ind w:left="2880" w:hanging="360"/>
      </w:pPr>
      <w:rPr>
        <w:rFonts w:ascii="Symbol" w:hAnsi="Symbol" w:hint="default"/>
      </w:rPr>
    </w:lvl>
    <w:lvl w:ilvl="4" w:tplc="DC1E2978">
      <w:start w:val="1"/>
      <w:numFmt w:val="bullet"/>
      <w:lvlText w:val="o"/>
      <w:lvlJc w:val="left"/>
      <w:pPr>
        <w:ind w:left="3600" w:hanging="360"/>
      </w:pPr>
      <w:rPr>
        <w:rFonts w:ascii="Courier New" w:hAnsi="Courier New" w:hint="default"/>
      </w:rPr>
    </w:lvl>
    <w:lvl w:ilvl="5" w:tplc="5F3E4A2C">
      <w:start w:val="1"/>
      <w:numFmt w:val="bullet"/>
      <w:lvlText w:val=""/>
      <w:lvlJc w:val="left"/>
      <w:pPr>
        <w:ind w:left="4320" w:hanging="360"/>
      </w:pPr>
      <w:rPr>
        <w:rFonts w:ascii="Wingdings" w:hAnsi="Wingdings" w:hint="default"/>
      </w:rPr>
    </w:lvl>
    <w:lvl w:ilvl="6" w:tplc="0ADE2CB4">
      <w:start w:val="1"/>
      <w:numFmt w:val="bullet"/>
      <w:lvlText w:val=""/>
      <w:lvlJc w:val="left"/>
      <w:pPr>
        <w:ind w:left="5040" w:hanging="360"/>
      </w:pPr>
      <w:rPr>
        <w:rFonts w:ascii="Symbol" w:hAnsi="Symbol" w:hint="default"/>
      </w:rPr>
    </w:lvl>
    <w:lvl w:ilvl="7" w:tplc="604CCB9A">
      <w:start w:val="1"/>
      <w:numFmt w:val="bullet"/>
      <w:lvlText w:val="o"/>
      <w:lvlJc w:val="left"/>
      <w:pPr>
        <w:ind w:left="5760" w:hanging="360"/>
      </w:pPr>
      <w:rPr>
        <w:rFonts w:ascii="Courier New" w:hAnsi="Courier New" w:hint="default"/>
      </w:rPr>
    </w:lvl>
    <w:lvl w:ilvl="8" w:tplc="572A5D62">
      <w:start w:val="1"/>
      <w:numFmt w:val="bullet"/>
      <w:lvlText w:val=""/>
      <w:lvlJc w:val="left"/>
      <w:pPr>
        <w:ind w:left="6480" w:hanging="360"/>
      </w:pPr>
      <w:rPr>
        <w:rFonts w:ascii="Wingdings" w:hAnsi="Wingdings" w:hint="default"/>
      </w:rPr>
    </w:lvl>
  </w:abstractNum>
  <w:abstractNum w:abstractNumId="6" w15:restartNumberingAfterBreak="0">
    <w:nsid w:val="2E4E2355"/>
    <w:multiLevelType w:val="hybridMultilevel"/>
    <w:tmpl w:val="38AE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EA02E"/>
    <w:multiLevelType w:val="hybridMultilevel"/>
    <w:tmpl w:val="54C0C6C0"/>
    <w:lvl w:ilvl="0" w:tplc="55505A32">
      <w:start w:val="1"/>
      <w:numFmt w:val="bullet"/>
      <w:lvlText w:val="·"/>
      <w:lvlJc w:val="left"/>
      <w:pPr>
        <w:ind w:left="720" w:hanging="360"/>
      </w:pPr>
      <w:rPr>
        <w:rFonts w:ascii="Symbol" w:hAnsi="Symbol" w:hint="default"/>
      </w:rPr>
    </w:lvl>
    <w:lvl w:ilvl="1" w:tplc="C3FE94D8">
      <w:start w:val="1"/>
      <w:numFmt w:val="bullet"/>
      <w:lvlText w:val="o"/>
      <w:lvlJc w:val="left"/>
      <w:pPr>
        <w:ind w:left="1440" w:hanging="360"/>
      </w:pPr>
      <w:rPr>
        <w:rFonts w:ascii="Courier New" w:hAnsi="Courier New" w:hint="default"/>
      </w:rPr>
    </w:lvl>
    <w:lvl w:ilvl="2" w:tplc="B184B00C">
      <w:start w:val="1"/>
      <w:numFmt w:val="bullet"/>
      <w:lvlText w:val=""/>
      <w:lvlJc w:val="left"/>
      <w:pPr>
        <w:ind w:left="2160" w:hanging="360"/>
      </w:pPr>
      <w:rPr>
        <w:rFonts w:ascii="Wingdings" w:hAnsi="Wingdings" w:hint="default"/>
      </w:rPr>
    </w:lvl>
    <w:lvl w:ilvl="3" w:tplc="6FD4AC2E">
      <w:start w:val="1"/>
      <w:numFmt w:val="bullet"/>
      <w:lvlText w:val=""/>
      <w:lvlJc w:val="left"/>
      <w:pPr>
        <w:ind w:left="2880" w:hanging="360"/>
      </w:pPr>
      <w:rPr>
        <w:rFonts w:ascii="Symbol" w:hAnsi="Symbol" w:hint="default"/>
      </w:rPr>
    </w:lvl>
    <w:lvl w:ilvl="4" w:tplc="DFB0EE8E">
      <w:start w:val="1"/>
      <w:numFmt w:val="bullet"/>
      <w:lvlText w:val="o"/>
      <w:lvlJc w:val="left"/>
      <w:pPr>
        <w:ind w:left="3600" w:hanging="360"/>
      </w:pPr>
      <w:rPr>
        <w:rFonts w:ascii="Courier New" w:hAnsi="Courier New" w:hint="default"/>
      </w:rPr>
    </w:lvl>
    <w:lvl w:ilvl="5" w:tplc="81FAB384">
      <w:start w:val="1"/>
      <w:numFmt w:val="bullet"/>
      <w:lvlText w:val=""/>
      <w:lvlJc w:val="left"/>
      <w:pPr>
        <w:ind w:left="4320" w:hanging="360"/>
      </w:pPr>
      <w:rPr>
        <w:rFonts w:ascii="Wingdings" w:hAnsi="Wingdings" w:hint="default"/>
      </w:rPr>
    </w:lvl>
    <w:lvl w:ilvl="6" w:tplc="5B5672F8">
      <w:start w:val="1"/>
      <w:numFmt w:val="bullet"/>
      <w:lvlText w:val=""/>
      <w:lvlJc w:val="left"/>
      <w:pPr>
        <w:ind w:left="5040" w:hanging="360"/>
      </w:pPr>
      <w:rPr>
        <w:rFonts w:ascii="Symbol" w:hAnsi="Symbol" w:hint="default"/>
      </w:rPr>
    </w:lvl>
    <w:lvl w:ilvl="7" w:tplc="23B63E1A">
      <w:start w:val="1"/>
      <w:numFmt w:val="bullet"/>
      <w:lvlText w:val="o"/>
      <w:lvlJc w:val="left"/>
      <w:pPr>
        <w:ind w:left="5760" w:hanging="360"/>
      </w:pPr>
      <w:rPr>
        <w:rFonts w:ascii="Courier New" w:hAnsi="Courier New" w:hint="default"/>
      </w:rPr>
    </w:lvl>
    <w:lvl w:ilvl="8" w:tplc="DE0CF098">
      <w:start w:val="1"/>
      <w:numFmt w:val="bullet"/>
      <w:lvlText w:val=""/>
      <w:lvlJc w:val="left"/>
      <w:pPr>
        <w:ind w:left="6480" w:hanging="360"/>
      </w:pPr>
      <w:rPr>
        <w:rFonts w:ascii="Wingdings" w:hAnsi="Wingdings" w:hint="default"/>
      </w:rPr>
    </w:lvl>
  </w:abstractNum>
  <w:abstractNum w:abstractNumId="8" w15:restartNumberingAfterBreak="0">
    <w:nsid w:val="59CCB113"/>
    <w:multiLevelType w:val="hybridMultilevel"/>
    <w:tmpl w:val="CA3CE734"/>
    <w:lvl w:ilvl="0" w:tplc="533ECC96">
      <w:start w:val="1"/>
      <w:numFmt w:val="bullet"/>
      <w:lvlText w:val="·"/>
      <w:lvlJc w:val="left"/>
      <w:pPr>
        <w:ind w:left="720" w:hanging="360"/>
      </w:pPr>
      <w:rPr>
        <w:rFonts w:ascii="Symbol" w:hAnsi="Symbol" w:hint="default"/>
      </w:rPr>
    </w:lvl>
    <w:lvl w:ilvl="1" w:tplc="54F4A002">
      <w:start w:val="1"/>
      <w:numFmt w:val="bullet"/>
      <w:lvlText w:val="o"/>
      <w:lvlJc w:val="left"/>
      <w:pPr>
        <w:ind w:left="1440" w:hanging="360"/>
      </w:pPr>
      <w:rPr>
        <w:rFonts w:ascii="Courier New" w:hAnsi="Courier New" w:hint="default"/>
      </w:rPr>
    </w:lvl>
    <w:lvl w:ilvl="2" w:tplc="F32EC4F4">
      <w:start w:val="1"/>
      <w:numFmt w:val="bullet"/>
      <w:lvlText w:val=""/>
      <w:lvlJc w:val="left"/>
      <w:pPr>
        <w:ind w:left="2160" w:hanging="360"/>
      </w:pPr>
      <w:rPr>
        <w:rFonts w:ascii="Wingdings" w:hAnsi="Wingdings" w:hint="default"/>
      </w:rPr>
    </w:lvl>
    <w:lvl w:ilvl="3" w:tplc="52A4BA70">
      <w:start w:val="1"/>
      <w:numFmt w:val="bullet"/>
      <w:lvlText w:val=""/>
      <w:lvlJc w:val="left"/>
      <w:pPr>
        <w:ind w:left="2880" w:hanging="360"/>
      </w:pPr>
      <w:rPr>
        <w:rFonts w:ascii="Symbol" w:hAnsi="Symbol" w:hint="default"/>
      </w:rPr>
    </w:lvl>
    <w:lvl w:ilvl="4" w:tplc="CF8250D0">
      <w:start w:val="1"/>
      <w:numFmt w:val="bullet"/>
      <w:lvlText w:val="o"/>
      <w:lvlJc w:val="left"/>
      <w:pPr>
        <w:ind w:left="3600" w:hanging="360"/>
      </w:pPr>
      <w:rPr>
        <w:rFonts w:ascii="Courier New" w:hAnsi="Courier New" w:hint="default"/>
      </w:rPr>
    </w:lvl>
    <w:lvl w:ilvl="5" w:tplc="B552B766">
      <w:start w:val="1"/>
      <w:numFmt w:val="bullet"/>
      <w:lvlText w:val=""/>
      <w:lvlJc w:val="left"/>
      <w:pPr>
        <w:ind w:left="4320" w:hanging="360"/>
      </w:pPr>
      <w:rPr>
        <w:rFonts w:ascii="Wingdings" w:hAnsi="Wingdings" w:hint="default"/>
      </w:rPr>
    </w:lvl>
    <w:lvl w:ilvl="6" w:tplc="732CC660">
      <w:start w:val="1"/>
      <w:numFmt w:val="bullet"/>
      <w:lvlText w:val=""/>
      <w:lvlJc w:val="left"/>
      <w:pPr>
        <w:ind w:left="5040" w:hanging="360"/>
      </w:pPr>
      <w:rPr>
        <w:rFonts w:ascii="Symbol" w:hAnsi="Symbol" w:hint="default"/>
      </w:rPr>
    </w:lvl>
    <w:lvl w:ilvl="7" w:tplc="ED8220C6">
      <w:start w:val="1"/>
      <w:numFmt w:val="bullet"/>
      <w:lvlText w:val="o"/>
      <w:lvlJc w:val="left"/>
      <w:pPr>
        <w:ind w:left="5760" w:hanging="360"/>
      </w:pPr>
      <w:rPr>
        <w:rFonts w:ascii="Courier New" w:hAnsi="Courier New" w:hint="default"/>
      </w:rPr>
    </w:lvl>
    <w:lvl w:ilvl="8" w:tplc="CB565ACE">
      <w:start w:val="1"/>
      <w:numFmt w:val="bullet"/>
      <w:lvlText w:val=""/>
      <w:lvlJc w:val="left"/>
      <w:pPr>
        <w:ind w:left="6480" w:hanging="360"/>
      </w:pPr>
      <w:rPr>
        <w:rFonts w:ascii="Wingdings" w:hAnsi="Wingdings" w:hint="default"/>
      </w:rPr>
    </w:lvl>
  </w:abstractNum>
  <w:abstractNum w:abstractNumId="9" w15:restartNumberingAfterBreak="0">
    <w:nsid w:val="67F038FD"/>
    <w:multiLevelType w:val="hybridMultilevel"/>
    <w:tmpl w:val="E374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C646E"/>
    <w:multiLevelType w:val="hybridMultilevel"/>
    <w:tmpl w:val="17A8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27C63"/>
    <w:multiLevelType w:val="hybridMultilevel"/>
    <w:tmpl w:val="591A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284436">
    <w:abstractNumId w:val="8"/>
  </w:num>
  <w:num w:numId="2" w16cid:durableId="51081754">
    <w:abstractNumId w:val="7"/>
  </w:num>
  <w:num w:numId="3" w16cid:durableId="884022880">
    <w:abstractNumId w:val="0"/>
  </w:num>
  <w:num w:numId="4" w16cid:durableId="1983653667">
    <w:abstractNumId w:val="5"/>
  </w:num>
  <w:num w:numId="5" w16cid:durableId="1655141546">
    <w:abstractNumId w:val="9"/>
  </w:num>
  <w:num w:numId="6" w16cid:durableId="595526435">
    <w:abstractNumId w:val="4"/>
  </w:num>
  <w:num w:numId="7" w16cid:durableId="1878590219">
    <w:abstractNumId w:val="10"/>
  </w:num>
  <w:num w:numId="8" w16cid:durableId="373965685">
    <w:abstractNumId w:val="6"/>
  </w:num>
  <w:num w:numId="9" w16cid:durableId="51200761">
    <w:abstractNumId w:val="2"/>
  </w:num>
  <w:num w:numId="10" w16cid:durableId="1234507383">
    <w:abstractNumId w:val="3"/>
  </w:num>
  <w:num w:numId="11" w16cid:durableId="980036773">
    <w:abstractNumId w:val="1"/>
  </w:num>
  <w:num w:numId="12" w16cid:durableId="1627004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1198E"/>
    <w:rsid w:val="00012049"/>
    <w:rsid w:val="00014E14"/>
    <w:rsid w:val="00022691"/>
    <w:rsid w:val="000278A0"/>
    <w:rsid w:val="000359C0"/>
    <w:rsid w:val="0004229D"/>
    <w:rsid w:val="00042868"/>
    <w:rsid w:val="000452BF"/>
    <w:rsid w:val="00050C1A"/>
    <w:rsid w:val="0005248A"/>
    <w:rsid w:val="000537B0"/>
    <w:rsid w:val="0005651D"/>
    <w:rsid w:val="00064B4E"/>
    <w:rsid w:val="00065CCA"/>
    <w:rsid w:val="00071BC9"/>
    <w:rsid w:val="00073447"/>
    <w:rsid w:val="00076583"/>
    <w:rsid w:val="00086268"/>
    <w:rsid w:val="0009465E"/>
    <w:rsid w:val="000A14DB"/>
    <w:rsid w:val="000A3D17"/>
    <w:rsid w:val="000B38B8"/>
    <w:rsid w:val="000B3E54"/>
    <w:rsid w:val="000B4B33"/>
    <w:rsid w:val="000C2023"/>
    <w:rsid w:val="000C3CC3"/>
    <w:rsid w:val="000C4F82"/>
    <w:rsid w:val="000D176F"/>
    <w:rsid w:val="000D1CBB"/>
    <w:rsid w:val="000D2900"/>
    <w:rsid w:val="000D3853"/>
    <w:rsid w:val="000D5293"/>
    <w:rsid w:val="000D7B1F"/>
    <w:rsid w:val="000E15CA"/>
    <w:rsid w:val="000F4C23"/>
    <w:rsid w:val="00113DE8"/>
    <w:rsid w:val="00115840"/>
    <w:rsid w:val="00117D29"/>
    <w:rsid w:val="00122DEA"/>
    <w:rsid w:val="001240FF"/>
    <w:rsid w:val="00127929"/>
    <w:rsid w:val="0013161D"/>
    <w:rsid w:val="00132EA2"/>
    <w:rsid w:val="00133CB0"/>
    <w:rsid w:val="00144D28"/>
    <w:rsid w:val="001544D6"/>
    <w:rsid w:val="0016189C"/>
    <w:rsid w:val="00172966"/>
    <w:rsid w:val="00176428"/>
    <w:rsid w:val="00192D2F"/>
    <w:rsid w:val="001964A8"/>
    <w:rsid w:val="001B1F9D"/>
    <w:rsid w:val="001B2B2B"/>
    <w:rsid w:val="001B6F77"/>
    <w:rsid w:val="001B7C6E"/>
    <w:rsid w:val="001C05D4"/>
    <w:rsid w:val="001C79E3"/>
    <w:rsid w:val="001D1686"/>
    <w:rsid w:val="001D4569"/>
    <w:rsid w:val="001E0DAC"/>
    <w:rsid w:val="001E22A4"/>
    <w:rsid w:val="001F146B"/>
    <w:rsid w:val="001F6E80"/>
    <w:rsid w:val="0022101C"/>
    <w:rsid w:val="00221146"/>
    <w:rsid w:val="00223408"/>
    <w:rsid w:val="00227E62"/>
    <w:rsid w:val="0023143A"/>
    <w:rsid w:val="0023294B"/>
    <w:rsid w:val="00234191"/>
    <w:rsid w:val="00241C5A"/>
    <w:rsid w:val="00243715"/>
    <w:rsid w:val="00247135"/>
    <w:rsid w:val="002505F1"/>
    <w:rsid w:val="00256E3A"/>
    <w:rsid w:val="002658E4"/>
    <w:rsid w:val="00270DE2"/>
    <w:rsid w:val="00271AC7"/>
    <w:rsid w:val="002776AA"/>
    <w:rsid w:val="002826A3"/>
    <w:rsid w:val="0028278F"/>
    <w:rsid w:val="00286B47"/>
    <w:rsid w:val="00286DE0"/>
    <w:rsid w:val="002875B0"/>
    <w:rsid w:val="00290B46"/>
    <w:rsid w:val="00295957"/>
    <w:rsid w:val="002A00CA"/>
    <w:rsid w:val="002B06A6"/>
    <w:rsid w:val="002B1E36"/>
    <w:rsid w:val="002B2F2E"/>
    <w:rsid w:val="002B6461"/>
    <w:rsid w:val="002B6F6C"/>
    <w:rsid w:val="002C17DC"/>
    <w:rsid w:val="002C6BCD"/>
    <w:rsid w:val="002D460F"/>
    <w:rsid w:val="002E5163"/>
    <w:rsid w:val="002E5E06"/>
    <w:rsid w:val="002F450A"/>
    <w:rsid w:val="002F5B27"/>
    <w:rsid w:val="002F7737"/>
    <w:rsid w:val="00304724"/>
    <w:rsid w:val="003077ED"/>
    <w:rsid w:val="00313319"/>
    <w:rsid w:val="00330A0F"/>
    <w:rsid w:val="003346DA"/>
    <w:rsid w:val="003414F2"/>
    <w:rsid w:val="003447AC"/>
    <w:rsid w:val="00346E0A"/>
    <w:rsid w:val="00362099"/>
    <w:rsid w:val="00370EB3"/>
    <w:rsid w:val="00371174"/>
    <w:rsid w:val="00373B79"/>
    <w:rsid w:val="0037614C"/>
    <w:rsid w:val="00382CAF"/>
    <w:rsid w:val="0038454F"/>
    <w:rsid w:val="00386726"/>
    <w:rsid w:val="00386F69"/>
    <w:rsid w:val="003950C1"/>
    <w:rsid w:val="0039735C"/>
    <w:rsid w:val="003A2989"/>
    <w:rsid w:val="003A4505"/>
    <w:rsid w:val="003B26BE"/>
    <w:rsid w:val="003C3755"/>
    <w:rsid w:val="003C6DD6"/>
    <w:rsid w:val="003D0463"/>
    <w:rsid w:val="003D2896"/>
    <w:rsid w:val="003D64F0"/>
    <w:rsid w:val="003E4317"/>
    <w:rsid w:val="003E59A2"/>
    <w:rsid w:val="003E5FFF"/>
    <w:rsid w:val="003E7C4B"/>
    <w:rsid w:val="003F6156"/>
    <w:rsid w:val="00400B18"/>
    <w:rsid w:val="00402D19"/>
    <w:rsid w:val="0040508D"/>
    <w:rsid w:val="00415051"/>
    <w:rsid w:val="00416B72"/>
    <w:rsid w:val="004170AC"/>
    <w:rsid w:val="0041798D"/>
    <w:rsid w:val="0042033E"/>
    <w:rsid w:val="004270B5"/>
    <w:rsid w:val="00431905"/>
    <w:rsid w:val="00432F78"/>
    <w:rsid w:val="00434884"/>
    <w:rsid w:val="00436670"/>
    <w:rsid w:val="00436FA2"/>
    <w:rsid w:val="00436FC6"/>
    <w:rsid w:val="00437AAD"/>
    <w:rsid w:val="004404C1"/>
    <w:rsid w:val="00440F64"/>
    <w:rsid w:val="0044141C"/>
    <w:rsid w:val="00441ED0"/>
    <w:rsid w:val="00444182"/>
    <w:rsid w:val="004726A8"/>
    <w:rsid w:val="00474E23"/>
    <w:rsid w:val="00475FB4"/>
    <w:rsid w:val="004778C9"/>
    <w:rsid w:val="004874BD"/>
    <w:rsid w:val="00490023"/>
    <w:rsid w:val="00490D6D"/>
    <w:rsid w:val="00490EBD"/>
    <w:rsid w:val="00497509"/>
    <w:rsid w:val="004A3C04"/>
    <w:rsid w:val="004A7A68"/>
    <w:rsid w:val="004B1269"/>
    <w:rsid w:val="004B2547"/>
    <w:rsid w:val="004B3039"/>
    <w:rsid w:val="004B42B9"/>
    <w:rsid w:val="004B4E50"/>
    <w:rsid w:val="004D524D"/>
    <w:rsid w:val="004D6CBC"/>
    <w:rsid w:val="004E64AC"/>
    <w:rsid w:val="004F0CAF"/>
    <w:rsid w:val="004F121B"/>
    <w:rsid w:val="004F6047"/>
    <w:rsid w:val="0050064F"/>
    <w:rsid w:val="00501148"/>
    <w:rsid w:val="0050704C"/>
    <w:rsid w:val="00510906"/>
    <w:rsid w:val="00510CDD"/>
    <w:rsid w:val="0051480C"/>
    <w:rsid w:val="0053406D"/>
    <w:rsid w:val="00534421"/>
    <w:rsid w:val="00540F3E"/>
    <w:rsid w:val="00541142"/>
    <w:rsid w:val="00542FB0"/>
    <w:rsid w:val="005440F4"/>
    <w:rsid w:val="005505B2"/>
    <w:rsid w:val="00552FBC"/>
    <w:rsid w:val="005633FA"/>
    <w:rsid w:val="00563603"/>
    <w:rsid w:val="0056592E"/>
    <w:rsid w:val="0057013C"/>
    <w:rsid w:val="0057299D"/>
    <w:rsid w:val="005864D3"/>
    <w:rsid w:val="0058738F"/>
    <w:rsid w:val="005878D9"/>
    <w:rsid w:val="0059362E"/>
    <w:rsid w:val="00596FA2"/>
    <w:rsid w:val="005A4FF4"/>
    <w:rsid w:val="005A7D6E"/>
    <w:rsid w:val="005B5AA5"/>
    <w:rsid w:val="005C54BB"/>
    <w:rsid w:val="005D3F7E"/>
    <w:rsid w:val="005E3BA1"/>
    <w:rsid w:val="005E7DDA"/>
    <w:rsid w:val="005F1F8F"/>
    <w:rsid w:val="005F2F4E"/>
    <w:rsid w:val="005F4BB4"/>
    <w:rsid w:val="00602EF3"/>
    <w:rsid w:val="00603EC5"/>
    <w:rsid w:val="00605A2E"/>
    <w:rsid w:val="0060684E"/>
    <w:rsid w:val="00610721"/>
    <w:rsid w:val="00614B7A"/>
    <w:rsid w:val="006177A9"/>
    <w:rsid w:val="00617FFD"/>
    <w:rsid w:val="00622153"/>
    <w:rsid w:val="00622178"/>
    <w:rsid w:val="0062274D"/>
    <w:rsid w:val="0063611D"/>
    <w:rsid w:val="00637465"/>
    <w:rsid w:val="006457F2"/>
    <w:rsid w:val="00646ED2"/>
    <w:rsid w:val="0065129F"/>
    <w:rsid w:val="00652036"/>
    <w:rsid w:val="00655D9B"/>
    <w:rsid w:val="00657BEF"/>
    <w:rsid w:val="00671EF5"/>
    <w:rsid w:val="006733FE"/>
    <w:rsid w:val="00681C70"/>
    <w:rsid w:val="00681E60"/>
    <w:rsid w:val="00682405"/>
    <w:rsid w:val="00683D88"/>
    <w:rsid w:val="00685766"/>
    <w:rsid w:val="00685BB6"/>
    <w:rsid w:val="00694407"/>
    <w:rsid w:val="00694ADF"/>
    <w:rsid w:val="006969F9"/>
    <w:rsid w:val="00696A33"/>
    <w:rsid w:val="006A595B"/>
    <w:rsid w:val="006A5B43"/>
    <w:rsid w:val="006B1EF9"/>
    <w:rsid w:val="006B76A5"/>
    <w:rsid w:val="006D6CDC"/>
    <w:rsid w:val="006D6D2F"/>
    <w:rsid w:val="006E051F"/>
    <w:rsid w:val="006E2804"/>
    <w:rsid w:val="006E295B"/>
    <w:rsid w:val="006F22FD"/>
    <w:rsid w:val="006F7F63"/>
    <w:rsid w:val="00700C65"/>
    <w:rsid w:val="00707A5A"/>
    <w:rsid w:val="0071270C"/>
    <w:rsid w:val="007136A1"/>
    <w:rsid w:val="007269A2"/>
    <w:rsid w:val="007303FA"/>
    <w:rsid w:val="007326F8"/>
    <w:rsid w:val="00732F85"/>
    <w:rsid w:val="00737093"/>
    <w:rsid w:val="00737E64"/>
    <w:rsid w:val="007408CB"/>
    <w:rsid w:val="00740C39"/>
    <w:rsid w:val="00740F95"/>
    <w:rsid w:val="0074251F"/>
    <w:rsid w:val="007450A8"/>
    <w:rsid w:val="0074640B"/>
    <w:rsid w:val="00746437"/>
    <w:rsid w:val="007471B0"/>
    <w:rsid w:val="00747D36"/>
    <w:rsid w:val="00762450"/>
    <w:rsid w:val="00763707"/>
    <w:rsid w:val="00763793"/>
    <w:rsid w:val="007643C9"/>
    <w:rsid w:val="00774681"/>
    <w:rsid w:val="00776E92"/>
    <w:rsid w:val="00777EF9"/>
    <w:rsid w:val="00780C18"/>
    <w:rsid w:val="00792F20"/>
    <w:rsid w:val="00796C6D"/>
    <w:rsid w:val="00797183"/>
    <w:rsid w:val="007A1F58"/>
    <w:rsid w:val="007A4514"/>
    <w:rsid w:val="007B0B62"/>
    <w:rsid w:val="007B2841"/>
    <w:rsid w:val="007B2C0D"/>
    <w:rsid w:val="007C2691"/>
    <w:rsid w:val="007C2EDA"/>
    <w:rsid w:val="007D0005"/>
    <w:rsid w:val="007D1667"/>
    <w:rsid w:val="007E1557"/>
    <w:rsid w:val="007E458C"/>
    <w:rsid w:val="007E7EA6"/>
    <w:rsid w:val="007E7F2D"/>
    <w:rsid w:val="007F04C2"/>
    <w:rsid w:val="007F2BA9"/>
    <w:rsid w:val="007F4B2C"/>
    <w:rsid w:val="00804E00"/>
    <w:rsid w:val="00806A16"/>
    <w:rsid w:val="00811B52"/>
    <w:rsid w:val="00812ECB"/>
    <w:rsid w:val="00823C82"/>
    <w:rsid w:val="008364FA"/>
    <w:rsid w:val="008475F8"/>
    <w:rsid w:val="0084791B"/>
    <w:rsid w:val="00852A6C"/>
    <w:rsid w:val="00855241"/>
    <w:rsid w:val="008605C6"/>
    <w:rsid w:val="00861383"/>
    <w:rsid w:val="00871A87"/>
    <w:rsid w:val="00871B1B"/>
    <w:rsid w:val="008730B3"/>
    <w:rsid w:val="00881F92"/>
    <w:rsid w:val="008B7DDB"/>
    <w:rsid w:val="008D1AB7"/>
    <w:rsid w:val="008D2263"/>
    <w:rsid w:val="008D48B4"/>
    <w:rsid w:val="008E6070"/>
    <w:rsid w:val="008E6DED"/>
    <w:rsid w:val="008F0ED3"/>
    <w:rsid w:val="008F42B4"/>
    <w:rsid w:val="008F7220"/>
    <w:rsid w:val="00905C46"/>
    <w:rsid w:val="00907583"/>
    <w:rsid w:val="00910B81"/>
    <w:rsid w:val="00911F93"/>
    <w:rsid w:val="00917874"/>
    <w:rsid w:val="009240A1"/>
    <w:rsid w:val="009242DF"/>
    <w:rsid w:val="009249DC"/>
    <w:rsid w:val="0094114B"/>
    <w:rsid w:val="00943BB3"/>
    <w:rsid w:val="00950EAF"/>
    <w:rsid w:val="00956BDC"/>
    <w:rsid w:val="00960957"/>
    <w:rsid w:val="00962060"/>
    <w:rsid w:val="0096369E"/>
    <w:rsid w:val="00965779"/>
    <w:rsid w:val="00982ACA"/>
    <w:rsid w:val="00982D1C"/>
    <w:rsid w:val="00986518"/>
    <w:rsid w:val="00995ECD"/>
    <w:rsid w:val="009A3D9A"/>
    <w:rsid w:val="009A3F38"/>
    <w:rsid w:val="009A5CD2"/>
    <w:rsid w:val="009B205A"/>
    <w:rsid w:val="009B3110"/>
    <w:rsid w:val="009B6F7E"/>
    <w:rsid w:val="009B772A"/>
    <w:rsid w:val="009C2AE5"/>
    <w:rsid w:val="009C44EF"/>
    <w:rsid w:val="009D1569"/>
    <w:rsid w:val="009D21F5"/>
    <w:rsid w:val="009D2EDB"/>
    <w:rsid w:val="009E28DC"/>
    <w:rsid w:val="009E4FCA"/>
    <w:rsid w:val="009F0547"/>
    <w:rsid w:val="009F31CF"/>
    <w:rsid w:val="009F6E4A"/>
    <w:rsid w:val="00A0034E"/>
    <w:rsid w:val="00A0744F"/>
    <w:rsid w:val="00A1069C"/>
    <w:rsid w:val="00A11151"/>
    <w:rsid w:val="00A16330"/>
    <w:rsid w:val="00A26531"/>
    <w:rsid w:val="00A3202D"/>
    <w:rsid w:val="00A32E44"/>
    <w:rsid w:val="00A3388A"/>
    <w:rsid w:val="00A34FB9"/>
    <w:rsid w:val="00A36CF1"/>
    <w:rsid w:val="00A40718"/>
    <w:rsid w:val="00A41190"/>
    <w:rsid w:val="00A51C69"/>
    <w:rsid w:val="00A63D1D"/>
    <w:rsid w:val="00A63FE3"/>
    <w:rsid w:val="00A67517"/>
    <w:rsid w:val="00A7430E"/>
    <w:rsid w:val="00A7493C"/>
    <w:rsid w:val="00A80E88"/>
    <w:rsid w:val="00A851B0"/>
    <w:rsid w:val="00A867A0"/>
    <w:rsid w:val="00A87FB1"/>
    <w:rsid w:val="00A926DC"/>
    <w:rsid w:val="00A92F54"/>
    <w:rsid w:val="00A93015"/>
    <w:rsid w:val="00A961E4"/>
    <w:rsid w:val="00A96548"/>
    <w:rsid w:val="00AA1D37"/>
    <w:rsid w:val="00AA3B58"/>
    <w:rsid w:val="00AA4051"/>
    <w:rsid w:val="00AA69A0"/>
    <w:rsid w:val="00AB0554"/>
    <w:rsid w:val="00AC22E5"/>
    <w:rsid w:val="00AC488F"/>
    <w:rsid w:val="00AE1FCA"/>
    <w:rsid w:val="00AE4E47"/>
    <w:rsid w:val="00AE5A18"/>
    <w:rsid w:val="00AE60C1"/>
    <w:rsid w:val="00AE7C3B"/>
    <w:rsid w:val="00AF4B5C"/>
    <w:rsid w:val="00AF6F67"/>
    <w:rsid w:val="00AF7B5A"/>
    <w:rsid w:val="00B01D83"/>
    <w:rsid w:val="00B038C5"/>
    <w:rsid w:val="00B066DA"/>
    <w:rsid w:val="00B12F71"/>
    <w:rsid w:val="00B130FE"/>
    <w:rsid w:val="00B14452"/>
    <w:rsid w:val="00B15561"/>
    <w:rsid w:val="00B1642C"/>
    <w:rsid w:val="00B17B5F"/>
    <w:rsid w:val="00B20E07"/>
    <w:rsid w:val="00B2548E"/>
    <w:rsid w:val="00B31135"/>
    <w:rsid w:val="00B3201A"/>
    <w:rsid w:val="00B356B8"/>
    <w:rsid w:val="00B37657"/>
    <w:rsid w:val="00B47B03"/>
    <w:rsid w:val="00B64BF0"/>
    <w:rsid w:val="00B66A21"/>
    <w:rsid w:val="00B75159"/>
    <w:rsid w:val="00B80C0B"/>
    <w:rsid w:val="00B82296"/>
    <w:rsid w:val="00B9758C"/>
    <w:rsid w:val="00BA7C1B"/>
    <w:rsid w:val="00BC183E"/>
    <w:rsid w:val="00BC3B50"/>
    <w:rsid w:val="00BD0431"/>
    <w:rsid w:val="00BD3BB7"/>
    <w:rsid w:val="00BE496A"/>
    <w:rsid w:val="00BE73B8"/>
    <w:rsid w:val="00BF29D0"/>
    <w:rsid w:val="00BF2F79"/>
    <w:rsid w:val="00BF5554"/>
    <w:rsid w:val="00C037CE"/>
    <w:rsid w:val="00C06939"/>
    <w:rsid w:val="00C1406B"/>
    <w:rsid w:val="00C15206"/>
    <w:rsid w:val="00C162AD"/>
    <w:rsid w:val="00C242D9"/>
    <w:rsid w:val="00C308CB"/>
    <w:rsid w:val="00C31A25"/>
    <w:rsid w:val="00C4039D"/>
    <w:rsid w:val="00C40CF1"/>
    <w:rsid w:val="00C4125C"/>
    <w:rsid w:val="00C43958"/>
    <w:rsid w:val="00C44BC1"/>
    <w:rsid w:val="00C46D14"/>
    <w:rsid w:val="00C5485F"/>
    <w:rsid w:val="00C55BED"/>
    <w:rsid w:val="00C60143"/>
    <w:rsid w:val="00C61058"/>
    <w:rsid w:val="00C77684"/>
    <w:rsid w:val="00C77B6D"/>
    <w:rsid w:val="00C81926"/>
    <w:rsid w:val="00C87817"/>
    <w:rsid w:val="00C87DF8"/>
    <w:rsid w:val="00C912CE"/>
    <w:rsid w:val="00C91749"/>
    <w:rsid w:val="00C92859"/>
    <w:rsid w:val="00C945C2"/>
    <w:rsid w:val="00C9518E"/>
    <w:rsid w:val="00CA559C"/>
    <w:rsid w:val="00CA5F40"/>
    <w:rsid w:val="00CA6874"/>
    <w:rsid w:val="00CB0EBF"/>
    <w:rsid w:val="00CB4C5D"/>
    <w:rsid w:val="00CB5E6F"/>
    <w:rsid w:val="00CC129C"/>
    <w:rsid w:val="00CC3642"/>
    <w:rsid w:val="00CD26DD"/>
    <w:rsid w:val="00CD2747"/>
    <w:rsid w:val="00CD7678"/>
    <w:rsid w:val="00CE5C8F"/>
    <w:rsid w:val="00CF3A38"/>
    <w:rsid w:val="00CF408D"/>
    <w:rsid w:val="00CF683C"/>
    <w:rsid w:val="00D07735"/>
    <w:rsid w:val="00D12558"/>
    <w:rsid w:val="00D31C2F"/>
    <w:rsid w:val="00D34F83"/>
    <w:rsid w:val="00D3728C"/>
    <w:rsid w:val="00D37966"/>
    <w:rsid w:val="00D37DE6"/>
    <w:rsid w:val="00D37FF3"/>
    <w:rsid w:val="00D40AEF"/>
    <w:rsid w:val="00D46436"/>
    <w:rsid w:val="00D53722"/>
    <w:rsid w:val="00D53F1E"/>
    <w:rsid w:val="00D55D28"/>
    <w:rsid w:val="00D61F68"/>
    <w:rsid w:val="00D649CC"/>
    <w:rsid w:val="00D669C4"/>
    <w:rsid w:val="00D72A80"/>
    <w:rsid w:val="00D74F45"/>
    <w:rsid w:val="00D756E5"/>
    <w:rsid w:val="00D77B1D"/>
    <w:rsid w:val="00D77CEA"/>
    <w:rsid w:val="00D91C5F"/>
    <w:rsid w:val="00D95F88"/>
    <w:rsid w:val="00D96E53"/>
    <w:rsid w:val="00DA05A2"/>
    <w:rsid w:val="00DB0769"/>
    <w:rsid w:val="00DB17A7"/>
    <w:rsid w:val="00DB2E61"/>
    <w:rsid w:val="00DB5D1E"/>
    <w:rsid w:val="00DC2906"/>
    <w:rsid w:val="00DC2E89"/>
    <w:rsid w:val="00DC3402"/>
    <w:rsid w:val="00DC3780"/>
    <w:rsid w:val="00DC3893"/>
    <w:rsid w:val="00DC7BF8"/>
    <w:rsid w:val="00DD051C"/>
    <w:rsid w:val="00DD0873"/>
    <w:rsid w:val="00DD10CC"/>
    <w:rsid w:val="00DD37E5"/>
    <w:rsid w:val="00DD685B"/>
    <w:rsid w:val="00DF05AA"/>
    <w:rsid w:val="00DF45EE"/>
    <w:rsid w:val="00E1102B"/>
    <w:rsid w:val="00E16644"/>
    <w:rsid w:val="00E25327"/>
    <w:rsid w:val="00E262A4"/>
    <w:rsid w:val="00E31AB4"/>
    <w:rsid w:val="00E34DFA"/>
    <w:rsid w:val="00E36E32"/>
    <w:rsid w:val="00E453B9"/>
    <w:rsid w:val="00E5010B"/>
    <w:rsid w:val="00E513E1"/>
    <w:rsid w:val="00E519BC"/>
    <w:rsid w:val="00E51E82"/>
    <w:rsid w:val="00E52195"/>
    <w:rsid w:val="00E55EF5"/>
    <w:rsid w:val="00E57AC4"/>
    <w:rsid w:val="00E57C36"/>
    <w:rsid w:val="00E6579E"/>
    <w:rsid w:val="00E72CD5"/>
    <w:rsid w:val="00E81960"/>
    <w:rsid w:val="00E92BB4"/>
    <w:rsid w:val="00E93B76"/>
    <w:rsid w:val="00E93C25"/>
    <w:rsid w:val="00E953C8"/>
    <w:rsid w:val="00EA26CD"/>
    <w:rsid w:val="00EA698C"/>
    <w:rsid w:val="00EB447E"/>
    <w:rsid w:val="00EB7310"/>
    <w:rsid w:val="00EC1464"/>
    <w:rsid w:val="00EC1A9F"/>
    <w:rsid w:val="00ED3A82"/>
    <w:rsid w:val="00ED49C0"/>
    <w:rsid w:val="00EE0F1B"/>
    <w:rsid w:val="00EE2F32"/>
    <w:rsid w:val="00EF0814"/>
    <w:rsid w:val="00EF16C4"/>
    <w:rsid w:val="00EF32C2"/>
    <w:rsid w:val="00EF32E3"/>
    <w:rsid w:val="00EF3CF2"/>
    <w:rsid w:val="00EF6166"/>
    <w:rsid w:val="00EF65E3"/>
    <w:rsid w:val="00EF7820"/>
    <w:rsid w:val="00F027CF"/>
    <w:rsid w:val="00F06490"/>
    <w:rsid w:val="00F06CC4"/>
    <w:rsid w:val="00F152CE"/>
    <w:rsid w:val="00F26C1F"/>
    <w:rsid w:val="00F325D3"/>
    <w:rsid w:val="00F3474E"/>
    <w:rsid w:val="00F4451C"/>
    <w:rsid w:val="00F61195"/>
    <w:rsid w:val="00F614B5"/>
    <w:rsid w:val="00F6209F"/>
    <w:rsid w:val="00F6242C"/>
    <w:rsid w:val="00F62E88"/>
    <w:rsid w:val="00F637AB"/>
    <w:rsid w:val="00F65C2F"/>
    <w:rsid w:val="00F77682"/>
    <w:rsid w:val="00F85B70"/>
    <w:rsid w:val="00F871B7"/>
    <w:rsid w:val="00F91E49"/>
    <w:rsid w:val="00F93AE4"/>
    <w:rsid w:val="00FA54E3"/>
    <w:rsid w:val="00FB2303"/>
    <w:rsid w:val="00FB3BE7"/>
    <w:rsid w:val="00FB5659"/>
    <w:rsid w:val="00FB62A0"/>
    <w:rsid w:val="00FB6944"/>
    <w:rsid w:val="00FD29A4"/>
    <w:rsid w:val="00FD4E05"/>
    <w:rsid w:val="00FD6748"/>
    <w:rsid w:val="00FE1429"/>
    <w:rsid w:val="00FE2448"/>
    <w:rsid w:val="00FF0880"/>
    <w:rsid w:val="00FF1E37"/>
    <w:rsid w:val="00FF6D5E"/>
    <w:rsid w:val="050F51CE"/>
    <w:rsid w:val="0BC56D97"/>
    <w:rsid w:val="0CD9D9A6"/>
    <w:rsid w:val="0CFB6909"/>
    <w:rsid w:val="0EE6B44B"/>
    <w:rsid w:val="0F37A14C"/>
    <w:rsid w:val="19894D7F"/>
    <w:rsid w:val="1A8B2AFC"/>
    <w:rsid w:val="1CC29729"/>
    <w:rsid w:val="1D983F91"/>
    <w:rsid w:val="1FF27839"/>
    <w:rsid w:val="2099D0CB"/>
    <w:rsid w:val="25DCA089"/>
    <w:rsid w:val="2DCF7C9C"/>
    <w:rsid w:val="3401376D"/>
    <w:rsid w:val="3459EA0C"/>
    <w:rsid w:val="3825F6BA"/>
    <w:rsid w:val="3D78A5EB"/>
    <w:rsid w:val="3F65A8FF"/>
    <w:rsid w:val="3F90D326"/>
    <w:rsid w:val="40C0516B"/>
    <w:rsid w:val="415067C6"/>
    <w:rsid w:val="4540E126"/>
    <w:rsid w:val="4CC76F57"/>
    <w:rsid w:val="4CD93D45"/>
    <w:rsid w:val="5622C8E3"/>
    <w:rsid w:val="57122CD4"/>
    <w:rsid w:val="5CF632AB"/>
    <w:rsid w:val="5DE7255A"/>
    <w:rsid w:val="5F0CCD30"/>
    <w:rsid w:val="60CE8A45"/>
    <w:rsid w:val="60F27A4B"/>
    <w:rsid w:val="626C5926"/>
    <w:rsid w:val="677C52E2"/>
    <w:rsid w:val="69824A50"/>
    <w:rsid w:val="75156212"/>
    <w:rsid w:val="7568EDCC"/>
    <w:rsid w:val="758CC7E8"/>
    <w:rsid w:val="774E8824"/>
    <w:rsid w:val="78421849"/>
    <w:rsid w:val="7BFEBB46"/>
    <w:rsid w:val="7E6DC7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9AEDFD"/>
  <w15:chartTrackingRefBased/>
  <w15:docId w15:val="{5EFE7B6D-44A3-5540-ABF7-E8A4E416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NormalWeb">
    <w:name w:val="Normal (Web)"/>
    <w:basedOn w:val="Normal"/>
    <w:uiPriority w:val="99"/>
    <w:unhideWhenUsed/>
    <w:rsid w:val="00E93C2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1E0DAC"/>
    <w:rPr>
      <w:b/>
      <w:bCs/>
    </w:rPr>
  </w:style>
  <w:style w:type="character" w:customStyle="1" w:styleId="CommentSubjectChar">
    <w:name w:val="Comment Subject Char"/>
    <w:basedOn w:val="CommentTextChar"/>
    <w:link w:val="CommentSubject"/>
    <w:uiPriority w:val="99"/>
    <w:semiHidden/>
    <w:rsid w:val="001E0DAC"/>
    <w:rPr>
      <w:b/>
      <w:bCs/>
      <w:sz w:val="20"/>
      <w:szCs w:val="20"/>
    </w:rPr>
  </w:style>
  <w:style w:type="paragraph" w:styleId="Revision">
    <w:name w:val="Revision"/>
    <w:hidden/>
    <w:uiPriority w:val="99"/>
    <w:semiHidden/>
    <w:rsid w:val="007E1557"/>
    <w:pPr>
      <w:spacing w:after="0" w:line="240" w:lineRule="auto"/>
    </w:pPr>
  </w:style>
  <w:style w:type="paragraph" w:styleId="Caption">
    <w:name w:val="caption"/>
    <w:basedOn w:val="Normal"/>
    <w:next w:val="Normal"/>
    <w:uiPriority w:val="35"/>
    <w:unhideWhenUsed/>
    <w:qFormat/>
    <w:rsid w:val="00F152C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85276FDB-1D9A-4E08-AC2E-7FDA6379A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5AAF9-FE93-6C4F-969A-284F4837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3533</Words>
  <Characters>22791</Characters>
  <Application>Microsoft Office Word</Application>
  <DocSecurity>0</DocSecurity>
  <Lines>633</Lines>
  <Paragraphs>128</Paragraphs>
  <ScaleCrop>false</ScaleCrop>
  <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6</cp:revision>
  <dcterms:created xsi:type="dcterms:W3CDTF">2026-02-20T19:22:00Z</dcterms:created>
  <dcterms:modified xsi:type="dcterms:W3CDTF">2026-04-01T20:25:00Z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y fmtid="{D5CDD505-2E9C-101B-9397-08002B2CF9AE}" pid="3" name="MediaServiceImageTags">
    <vt:lpwstr/>
  </property>
</Properties>
</file>