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F5B2" w14:textId="69F5E0C3" w:rsidR="005E7DDA" w:rsidRDefault="003E22B2" w:rsidP="003E22B2">
      <w:pPr>
        <w:pStyle w:val="Title"/>
      </w:pPr>
      <w:r>
        <w:t>College of Education</w:t>
      </w:r>
      <w:r w:rsidR="008A5329">
        <w:t xml:space="preserve"> and Human Development (CEHD) </w:t>
      </w:r>
      <w:r>
        <w:t>Promotion &amp; Tenure Procedures</w:t>
      </w:r>
    </w:p>
    <w:p w14:paraId="69180D00" w14:textId="1555CD97" w:rsidR="003E22B2" w:rsidRDefault="003E22B2" w:rsidP="003E22B2">
      <w:pPr>
        <w:pStyle w:val="Heading1"/>
      </w:pPr>
      <w:r>
        <w:t>Preamble</w:t>
      </w:r>
    </w:p>
    <w:p w14:paraId="575E1950" w14:textId="7E406BE0" w:rsidR="002030E8" w:rsidRDefault="00E669FE" w:rsidP="002030E8">
      <w:r>
        <w:t>This document articulates the criteria and the procedures for faculty evaluation for tenure and promotion within the College of Education</w:t>
      </w:r>
      <w:r w:rsidR="008A5329">
        <w:t xml:space="preserve"> and Human Development</w:t>
      </w:r>
      <w:r w:rsidR="00F37064">
        <w:t xml:space="preserve"> (C</w:t>
      </w:r>
      <w:r w:rsidR="008A5329">
        <w:t>EHD</w:t>
      </w:r>
      <w:r w:rsidR="00F37064">
        <w:t>)</w:t>
      </w:r>
      <w:r>
        <w:t>.</w:t>
      </w:r>
      <w:r w:rsidR="00C574C0">
        <w:t xml:space="preserve"> </w:t>
      </w:r>
      <w:r>
        <w:t xml:space="preserve">These provisions are intended to be supplemental to and consistent with Section 7 of the </w:t>
      </w:r>
      <w:r w:rsidRPr="009514EE">
        <w:t>University</w:t>
      </w:r>
      <w:r w:rsidRPr="00E669FE">
        <w:rPr>
          <w:i/>
          <w:iCs/>
        </w:rPr>
        <w:t xml:space="preserve"> Faculty Handbook</w:t>
      </w:r>
      <w:r>
        <w:t xml:space="preserve">. In any case where an inconsistency emerges, the </w:t>
      </w:r>
      <w:r w:rsidRPr="009514EE">
        <w:t>University</w:t>
      </w:r>
      <w:r w:rsidRPr="00E669FE">
        <w:rPr>
          <w:i/>
          <w:iCs/>
        </w:rPr>
        <w:t xml:space="preserve"> Faculty Handbook</w:t>
      </w:r>
      <w:r>
        <w:rPr>
          <w:i/>
          <w:iCs/>
        </w:rPr>
        <w:t xml:space="preserve"> </w:t>
      </w:r>
      <w:r>
        <w:t>shall supersede any provisions in the present document and shall govern.</w:t>
      </w:r>
    </w:p>
    <w:p w14:paraId="48C2025F" w14:textId="56CBBE38" w:rsidR="008E7443" w:rsidRDefault="002030E8" w:rsidP="008E7443">
      <w:pPr>
        <w:pStyle w:val="Heading1"/>
        <w:numPr>
          <w:ilvl w:val="0"/>
          <w:numId w:val="1"/>
        </w:numPr>
      </w:pPr>
      <w:r>
        <w:t xml:space="preserve">Promotion and Tenure </w:t>
      </w:r>
      <w:r w:rsidR="007B1C72">
        <w:t xml:space="preserve">Eligibility and </w:t>
      </w:r>
      <w:r>
        <w:t>Criteria</w:t>
      </w:r>
    </w:p>
    <w:p w14:paraId="21A4ACC9" w14:textId="3D428AC0" w:rsidR="002030E8" w:rsidRDefault="00056F60" w:rsidP="002030E8">
      <w:r>
        <w:t xml:space="preserve">Section 7 of the </w:t>
      </w:r>
      <w:r w:rsidRPr="009514EE">
        <w:t xml:space="preserve">University </w:t>
      </w:r>
      <w:r>
        <w:rPr>
          <w:i/>
          <w:iCs/>
        </w:rPr>
        <w:t>Faculty Handbook</w:t>
      </w:r>
      <w:r>
        <w:t xml:space="preserve"> outlines eligibility for promotion and/or </w:t>
      </w:r>
      <w:r w:rsidR="00433E38">
        <w:t>tenure at various ranks (</w:t>
      </w:r>
      <w:r w:rsidR="00A6184D">
        <w:t>see § 7.2). Additionally, u</w:t>
      </w:r>
      <w:r w:rsidR="002030E8">
        <w:t xml:space="preserve">niversal criteria for promotion and tenure at varied ranks are established in </w:t>
      </w:r>
      <w:r w:rsidR="00A6184D">
        <w:t xml:space="preserve">§ </w:t>
      </w:r>
      <w:r w:rsidR="002030E8">
        <w:t>7</w:t>
      </w:r>
      <w:r w:rsidR="00A6184D">
        <w:t>.3</w:t>
      </w:r>
      <w:r w:rsidR="002030E8">
        <w:t xml:space="preserve">. Departmental guidelines </w:t>
      </w:r>
      <w:r w:rsidR="008312CD">
        <w:t xml:space="preserve">are available on the </w:t>
      </w:r>
      <w:proofErr w:type="gramStart"/>
      <w:r w:rsidR="008312CD">
        <w:t>Provost’s</w:t>
      </w:r>
      <w:proofErr w:type="gramEnd"/>
      <w:r w:rsidR="008312CD">
        <w:t xml:space="preserve"> website to </w:t>
      </w:r>
      <w:r w:rsidR="00C01A83">
        <w:t xml:space="preserve">explain how these universal criteria are typically met within specific disciplines. </w:t>
      </w:r>
      <w:r w:rsidR="000D754F" w:rsidRPr="000D754F">
        <w:t>These guidelines should inform the candidate’s file preparation and the chair/Associate Dean’s letter writing.</w:t>
      </w:r>
    </w:p>
    <w:p w14:paraId="5D6BE996" w14:textId="46E51814" w:rsidR="002A1C8F" w:rsidRPr="002A1C8F" w:rsidRDefault="003A324E" w:rsidP="00115373">
      <w:pPr>
        <w:pStyle w:val="Heading1"/>
        <w:numPr>
          <w:ilvl w:val="0"/>
          <w:numId w:val="1"/>
        </w:numPr>
      </w:pPr>
      <w:r>
        <w:t>Pr</w:t>
      </w:r>
      <w:r w:rsidR="00E30B7A">
        <w:t>obationary Period and Pre-Tenure</w:t>
      </w:r>
      <w:r w:rsidR="0067173B">
        <w:t>/Pre-Promotion</w:t>
      </w:r>
      <w:r w:rsidR="00E30B7A">
        <w:t xml:space="preserve"> Review</w:t>
      </w:r>
    </w:p>
    <w:p w14:paraId="780D05DA" w14:textId="45DD0702" w:rsidR="00E850EB" w:rsidRDefault="006068C6" w:rsidP="00DD5468">
      <w:pPr>
        <w:pStyle w:val="Heading2"/>
        <w:numPr>
          <w:ilvl w:val="1"/>
          <w:numId w:val="1"/>
        </w:numPr>
      </w:pPr>
      <w:r>
        <w:t>Probationary Period</w:t>
      </w:r>
    </w:p>
    <w:p w14:paraId="38A5BE32" w14:textId="7A0CCD22" w:rsidR="003216D6" w:rsidRDefault="007A3724" w:rsidP="008B6A26">
      <w:pPr>
        <w:pStyle w:val="ListParagraph"/>
        <w:ind w:left="740"/>
      </w:pPr>
      <w:r>
        <w:t>For tenure-track faculty, t</w:t>
      </w:r>
      <w:r w:rsidR="006068C6">
        <w:t xml:space="preserve">he probationary period </w:t>
      </w:r>
      <w:r w:rsidR="007B006B">
        <w:t>is six years of full-time teaching experience at the University</w:t>
      </w:r>
      <w:r w:rsidR="002D2169">
        <w:t>,</w:t>
      </w:r>
      <w:r w:rsidR="007B006B">
        <w:t xml:space="preserve"> unless a faculty member has chosen to extend that period in accordance with § 3.15 </w:t>
      </w:r>
      <w:r w:rsidR="002D2169">
        <w:t xml:space="preserve">of the </w:t>
      </w:r>
      <w:r w:rsidR="002D2169" w:rsidRPr="7F9F1A2A">
        <w:rPr>
          <w:i/>
          <w:iCs/>
        </w:rPr>
        <w:t xml:space="preserve">Faculty Handbook </w:t>
      </w:r>
      <w:r w:rsidR="007B006B">
        <w:t>and other applicable University policies</w:t>
      </w:r>
      <w:r w:rsidR="002D2169">
        <w:t>.</w:t>
      </w:r>
      <w:r w:rsidR="00535767">
        <w:t xml:space="preserve"> </w:t>
      </w:r>
      <w:r w:rsidR="00B743B8">
        <w:t>Renewable</w:t>
      </w:r>
      <w:r w:rsidR="00535767">
        <w:t>-term appointment (RTA) faculty</w:t>
      </w:r>
      <w:r w:rsidR="00B743B8">
        <w:t xml:space="preserve"> are permitted to remain at the rank of Lecturer indefinitely; however, for the purposes of early-career mentoring and support, </w:t>
      </w:r>
      <w:r w:rsidR="00535767">
        <w:t xml:space="preserve">the probationary period </w:t>
      </w:r>
      <w:r w:rsidR="00304D9E">
        <w:t xml:space="preserve">for RTA faculty </w:t>
      </w:r>
      <w:r w:rsidR="00535767">
        <w:t>will be considered three years of full-time teaching experience at the University</w:t>
      </w:r>
      <w:r w:rsidR="008B6A26">
        <w:t>.</w:t>
      </w:r>
    </w:p>
    <w:p w14:paraId="4B053104" w14:textId="49173BAA" w:rsidR="005F540C" w:rsidRDefault="00D36B10" w:rsidP="00C74089">
      <w:pPr>
        <w:pStyle w:val="Heading2"/>
        <w:numPr>
          <w:ilvl w:val="1"/>
          <w:numId w:val="1"/>
        </w:numPr>
      </w:pPr>
      <w:r>
        <w:lastRenderedPageBreak/>
        <w:t>Mentoring</w:t>
      </w:r>
    </w:p>
    <w:p w14:paraId="0CCA01FE" w14:textId="6A560677" w:rsidR="003216D6" w:rsidRDefault="007F4FDC" w:rsidP="008B6A26">
      <w:pPr>
        <w:pStyle w:val="ListParagraph"/>
        <w:ind w:left="740"/>
      </w:pPr>
      <w:r>
        <w:t xml:space="preserve">During the probationary period, new </w:t>
      </w:r>
      <w:r w:rsidR="001476D4">
        <w:t xml:space="preserve">full-time instructional </w:t>
      </w:r>
      <w:r>
        <w:t xml:space="preserve">faculty will have a tenured </w:t>
      </w:r>
      <w:r w:rsidR="00AD5A05">
        <w:t xml:space="preserve">(for tenure-track faculty) or promoted (for RTA faculty) </w:t>
      </w:r>
      <w:r>
        <w:t>faculty member selected as a mentor who serves to provide positive career support and guidance about faculty matters. In the role of mentor, one does not serve as a formal evaluator of the new faculty member. However, mentors may serve on a Peer Review Team.</w:t>
      </w:r>
    </w:p>
    <w:p w14:paraId="089540C5" w14:textId="5C869770" w:rsidR="00D36B10" w:rsidRDefault="00D36B10" w:rsidP="008365CE">
      <w:pPr>
        <w:pStyle w:val="Heading3"/>
        <w:numPr>
          <w:ilvl w:val="2"/>
          <w:numId w:val="1"/>
        </w:numPr>
      </w:pPr>
      <w:r>
        <w:t>Selection of Mentors</w:t>
      </w:r>
    </w:p>
    <w:p w14:paraId="4FBE6933" w14:textId="3942E854" w:rsidR="006F4D6D" w:rsidRDefault="006F4D6D" w:rsidP="006F4D6D">
      <w:pPr>
        <w:pStyle w:val="ListParagraph"/>
        <w:ind w:left="1080"/>
      </w:pPr>
      <w:r>
        <w:t>Upon the appointment of a new full-time faculty member, the</w:t>
      </w:r>
      <w:r w:rsidR="009806D3">
        <w:t xml:space="preserve"> faculty member’s immediate supervisor (i.e.,</w:t>
      </w:r>
      <w:r>
        <w:t xml:space="preserve"> </w:t>
      </w:r>
      <w:r w:rsidR="009806D3">
        <w:t xml:space="preserve">associate dean, </w:t>
      </w:r>
      <w:r w:rsidR="00E71799">
        <w:t xml:space="preserve">department </w:t>
      </w:r>
      <w:r w:rsidR="009806D3">
        <w:t xml:space="preserve">chair, or program director) </w:t>
      </w:r>
      <w:r>
        <w:t xml:space="preserve">shall select a </w:t>
      </w:r>
      <w:r w:rsidR="0047540A">
        <w:t>tenured (for tenure-track faculty) or promoted (for RTA faculty)</w:t>
      </w:r>
      <w:r>
        <w:t xml:space="preserve"> faculty member to serve for one year as the Orientation Mentor for the new faculty. Selected Orientation Mentors will be notified in the spring of the year preceding the beginning of their mentorship. A selected mentor must accept or decline the appointment within two weeks of being selected. The decision to decline must be in writing with an explanation. The Orientation Mentor will serve as a resource for the new faculty member’s first contract year as they become acclimated to the </w:t>
      </w:r>
      <w:r w:rsidR="00F04191">
        <w:t>department, c</w:t>
      </w:r>
      <w:r>
        <w:t>ollege</w:t>
      </w:r>
      <w:r w:rsidR="00F04191">
        <w:t>,</w:t>
      </w:r>
      <w:r>
        <w:t xml:space="preserve"> and University, and the Mentor will </w:t>
      </w:r>
      <w:proofErr w:type="gramStart"/>
      <w:r>
        <w:t>provide assistance to</w:t>
      </w:r>
      <w:proofErr w:type="gramEnd"/>
      <w:r>
        <w:t xml:space="preserve"> that new faculty member in understanding and performing the new faculty member’s teaching and advising responsibilities as listed in subsection </w:t>
      </w:r>
      <w:r w:rsidR="001435EC">
        <w:t>2.2.3</w:t>
      </w:r>
      <w:r>
        <w:t xml:space="preserve"> below. </w:t>
      </w:r>
    </w:p>
    <w:p w14:paraId="027A0802" w14:textId="77777777" w:rsidR="006F4D6D" w:rsidRDefault="006F4D6D" w:rsidP="006F4D6D">
      <w:pPr>
        <w:pStyle w:val="ListParagraph"/>
        <w:ind w:left="1080"/>
      </w:pPr>
    </w:p>
    <w:p w14:paraId="5C4F9E0A" w14:textId="082886BF" w:rsidR="006F4D6D" w:rsidRDefault="006F4D6D" w:rsidP="006F4D6D">
      <w:pPr>
        <w:pStyle w:val="ListParagraph"/>
        <w:ind w:left="1080"/>
      </w:pPr>
      <w:r>
        <w:t xml:space="preserve">Before the end of the first contract year, the new faculty member will select their </w:t>
      </w:r>
      <w:r w:rsidR="001D2657">
        <w:t>Probationary Period</w:t>
      </w:r>
      <w:r>
        <w:t xml:space="preserve"> Mentor from among the </w:t>
      </w:r>
      <w:r w:rsidR="00516266">
        <w:t xml:space="preserve">tenured (for tenure-track faculty) or promoted (for RTA faculty) </w:t>
      </w:r>
      <w:r>
        <w:t xml:space="preserve">faculty in the </w:t>
      </w:r>
      <w:r w:rsidR="00516266">
        <w:t>department,</w:t>
      </w:r>
      <w:r>
        <w:t xml:space="preserve"> who will serve as the new faculty member’s mentor for the next two years until the new faculty member completes preparation of their pre-tenure</w:t>
      </w:r>
      <w:r w:rsidR="00747AC9">
        <w:t xml:space="preserve"> (for tenure-track faculty) or </w:t>
      </w:r>
      <w:r w:rsidR="00516266">
        <w:t>pre-promotion</w:t>
      </w:r>
      <w:r>
        <w:t xml:space="preserve"> </w:t>
      </w:r>
      <w:r w:rsidR="00747AC9">
        <w:t>(for RTA faculty</w:t>
      </w:r>
      <w:r w:rsidR="002341F0">
        <w:t xml:space="preserve"> intending to apply for promotion</w:t>
      </w:r>
      <w:r w:rsidR="00747AC9">
        <w:t xml:space="preserve">) </w:t>
      </w:r>
      <w:r>
        <w:t>review portfolio</w:t>
      </w:r>
      <w:r w:rsidR="00516266">
        <w:t xml:space="preserve">, in accordance with </w:t>
      </w:r>
      <w:r w:rsidR="00000C2C">
        <w:t xml:space="preserve">§ 6.2.1.5 of the </w:t>
      </w:r>
      <w:r w:rsidR="00000C2C">
        <w:rPr>
          <w:i/>
          <w:iCs/>
        </w:rPr>
        <w:t>Faculty Handbook</w:t>
      </w:r>
      <w:r>
        <w:t xml:space="preserve">. A selected mentor must accept or decline the appointment within two weeks of being selected. The decision to decline must be in writing with an explanation. The Orientation Mentor may serve as the </w:t>
      </w:r>
      <w:r w:rsidR="00000C2C">
        <w:t>Probationary Period</w:t>
      </w:r>
      <w:r>
        <w:t xml:space="preserve"> Mentor if both the mentor and the new faculty member agree. Each selected </w:t>
      </w:r>
      <w:r w:rsidR="00000C2C">
        <w:t>Probationary Period</w:t>
      </w:r>
      <w:r>
        <w:t xml:space="preserve"> Mentor should be able to perform all the responsibilities listed in subsection </w:t>
      </w:r>
      <w:r w:rsidR="00F04191">
        <w:t>2.2.3</w:t>
      </w:r>
      <w:r>
        <w:t xml:space="preserve"> below. </w:t>
      </w:r>
    </w:p>
    <w:p w14:paraId="390424F8" w14:textId="77777777" w:rsidR="006F4D6D" w:rsidRDefault="006F4D6D" w:rsidP="006F4D6D">
      <w:pPr>
        <w:pStyle w:val="ListParagraph"/>
        <w:ind w:left="1080"/>
      </w:pPr>
    </w:p>
    <w:p w14:paraId="7109C13F" w14:textId="6BAECEF1" w:rsidR="003216D6" w:rsidRDefault="006F4D6D" w:rsidP="008B6A26">
      <w:pPr>
        <w:pStyle w:val="ListParagraph"/>
        <w:ind w:left="1080"/>
      </w:pPr>
      <w:r>
        <w:lastRenderedPageBreak/>
        <w:t>The</w:t>
      </w:r>
      <w:r w:rsidR="006341D3">
        <w:t xml:space="preserve"> candidate’s supervisor (i.e., associate dean, department chair, or program director)</w:t>
      </w:r>
      <w:r>
        <w:t xml:space="preserve"> will ordinarily not serve as a mentor, as it is important for effective mentorship that the mentor </w:t>
      </w:r>
      <w:proofErr w:type="gramStart"/>
      <w:r>
        <w:t>not be</w:t>
      </w:r>
      <w:proofErr w:type="gramEnd"/>
      <w:r>
        <w:t xml:space="preserve"> responsible for annual evaluation of the faculty member. No faculty member should be required to mentor more than one individual at a time. Selection as a mentor stands as strong recognition of a tenured faculty member’s record, as well as being a service responsibility.</w:t>
      </w:r>
    </w:p>
    <w:p w14:paraId="1F2214DC" w14:textId="0740B3E8" w:rsidR="00C12BC4" w:rsidRDefault="00C12BC4" w:rsidP="008365CE">
      <w:pPr>
        <w:pStyle w:val="Heading3"/>
        <w:numPr>
          <w:ilvl w:val="2"/>
          <w:numId w:val="1"/>
        </w:numPr>
      </w:pPr>
      <w:r>
        <w:t>Mentor Criteria</w:t>
      </w:r>
    </w:p>
    <w:p w14:paraId="302EFB2C" w14:textId="24039C21" w:rsidR="00C12BC4" w:rsidRDefault="00C12BC4" w:rsidP="00C12BC4">
      <w:pPr>
        <w:pStyle w:val="ListParagraph"/>
        <w:ind w:left="1080"/>
      </w:pPr>
      <w:r>
        <w:t>The mentor must meet the following criteria:</w:t>
      </w:r>
    </w:p>
    <w:p w14:paraId="64716F1E" w14:textId="51EEC63B" w:rsidR="00C12BC4" w:rsidRDefault="00C12BC4" w:rsidP="00DA04C7">
      <w:pPr>
        <w:pStyle w:val="ListParagraph"/>
        <w:numPr>
          <w:ilvl w:val="0"/>
          <w:numId w:val="8"/>
        </w:numPr>
      </w:pPr>
      <w:r>
        <w:t xml:space="preserve">The mentor must be </w:t>
      </w:r>
      <w:r w:rsidR="00500934">
        <w:t>tenured (for tenure-track faculty) or promoted (for RTA faculty)</w:t>
      </w:r>
      <w:r>
        <w:t>.</w:t>
      </w:r>
    </w:p>
    <w:p w14:paraId="747570D6" w14:textId="77777777" w:rsidR="00476DCD" w:rsidRDefault="00C12BC4" w:rsidP="00DA04C7">
      <w:pPr>
        <w:pStyle w:val="ListParagraph"/>
        <w:numPr>
          <w:ilvl w:val="0"/>
          <w:numId w:val="8"/>
        </w:numPr>
      </w:pPr>
      <w:r>
        <w:t xml:space="preserve">The Orientation mentor </w:t>
      </w:r>
      <w:r w:rsidR="00476DCD">
        <w:t>must commit to meeting with the new faculty member once per month during their first academic year.</w:t>
      </w:r>
    </w:p>
    <w:p w14:paraId="3B031004" w14:textId="2C4ACA68" w:rsidR="003216D6" w:rsidRDefault="00476DCD" w:rsidP="00DA04C7">
      <w:pPr>
        <w:pStyle w:val="ListParagraph"/>
        <w:numPr>
          <w:ilvl w:val="0"/>
          <w:numId w:val="8"/>
        </w:numPr>
      </w:pPr>
      <w:r>
        <w:t xml:space="preserve">The </w:t>
      </w:r>
      <w:r w:rsidR="00500934">
        <w:t>Probationary Period</w:t>
      </w:r>
      <w:r>
        <w:t xml:space="preserve"> Mentor must commit to serving for the second and third years of the new faculty member’s employment (i.e. until submission of their pre-tenure</w:t>
      </w:r>
      <w:r w:rsidR="00500934">
        <w:t>/pre-promotion</w:t>
      </w:r>
      <w:r>
        <w:t xml:space="preserve"> review portfolio) and to meeting with the new faculty member at least two times per semester during those two academic years.</w:t>
      </w:r>
    </w:p>
    <w:p w14:paraId="779E7E37" w14:textId="0CCE8A14" w:rsidR="00C12BC4" w:rsidRDefault="00C12BC4" w:rsidP="008365CE">
      <w:pPr>
        <w:pStyle w:val="Heading3"/>
        <w:numPr>
          <w:ilvl w:val="2"/>
          <w:numId w:val="1"/>
        </w:numPr>
      </w:pPr>
      <w:r>
        <w:t>Mentor Responsibilities</w:t>
      </w:r>
    </w:p>
    <w:p w14:paraId="5F6E2D7C" w14:textId="3E71EC59" w:rsidR="00476DCD" w:rsidRDefault="00476DCD" w:rsidP="00476DCD">
      <w:pPr>
        <w:pStyle w:val="ListParagraph"/>
        <w:ind w:left="1080"/>
      </w:pPr>
      <w:r>
        <w:t>Mentor responsibilities include, but are not limited to, the following:</w:t>
      </w:r>
    </w:p>
    <w:p w14:paraId="56C05796" w14:textId="461F3C25" w:rsidR="00E55C55" w:rsidRDefault="00E55C55" w:rsidP="00DA04C7">
      <w:pPr>
        <w:pStyle w:val="ListParagraph"/>
        <w:numPr>
          <w:ilvl w:val="0"/>
          <w:numId w:val="9"/>
        </w:numPr>
      </w:pPr>
      <w:r>
        <w:t>Serving as a resource to the new faculty member as they become acclimated to the</w:t>
      </w:r>
      <w:r w:rsidR="002B5836">
        <w:t xml:space="preserve"> department,</w:t>
      </w:r>
      <w:r>
        <w:t xml:space="preserve"> </w:t>
      </w:r>
      <w:r w:rsidR="00CC73C5">
        <w:t>c</w:t>
      </w:r>
      <w:r>
        <w:t>ollege</w:t>
      </w:r>
      <w:r w:rsidR="002B5836">
        <w:t>,</w:t>
      </w:r>
      <w:r>
        <w:t xml:space="preserve"> and University</w:t>
      </w:r>
    </w:p>
    <w:p w14:paraId="0CFDAA51" w14:textId="540B7625" w:rsidR="00476DCD" w:rsidRDefault="00E55C55" w:rsidP="00DA04C7">
      <w:pPr>
        <w:pStyle w:val="ListParagraph"/>
        <w:numPr>
          <w:ilvl w:val="0"/>
          <w:numId w:val="9"/>
        </w:numPr>
      </w:pPr>
      <w:r>
        <w:t>Assisting with advising</w:t>
      </w:r>
    </w:p>
    <w:p w14:paraId="37FF6FE1" w14:textId="7782CB1C" w:rsidR="00E55C55" w:rsidRDefault="00E55C55" w:rsidP="00DA04C7">
      <w:pPr>
        <w:pStyle w:val="ListParagraph"/>
        <w:numPr>
          <w:ilvl w:val="0"/>
          <w:numId w:val="9"/>
        </w:numPr>
      </w:pPr>
      <w:r>
        <w:t xml:space="preserve">Explaining the academic policies of the </w:t>
      </w:r>
      <w:r w:rsidR="00CC73C5">
        <w:t xml:space="preserve">department, </w:t>
      </w:r>
      <w:r>
        <w:t>college</w:t>
      </w:r>
      <w:r w:rsidR="00CC73C5">
        <w:t xml:space="preserve">, </w:t>
      </w:r>
      <w:r>
        <w:t>and the requirements of the faculty member’s program(s)</w:t>
      </w:r>
    </w:p>
    <w:p w14:paraId="549B2246" w14:textId="77777777" w:rsidR="00E55C55" w:rsidRDefault="00E55C55" w:rsidP="00DA04C7">
      <w:pPr>
        <w:pStyle w:val="ListParagraph"/>
        <w:numPr>
          <w:ilvl w:val="0"/>
          <w:numId w:val="9"/>
        </w:numPr>
      </w:pPr>
      <w:r>
        <w:t>Assisting in preparation of course syllabi, understanding of teaching responsibilities, and orientation to the Faculty Handbook</w:t>
      </w:r>
    </w:p>
    <w:p w14:paraId="45D096ED" w14:textId="2EDDC5F3" w:rsidR="00E55C55" w:rsidRDefault="00E55C55" w:rsidP="00DA04C7">
      <w:pPr>
        <w:pStyle w:val="ListParagraph"/>
        <w:numPr>
          <w:ilvl w:val="0"/>
          <w:numId w:val="9"/>
        </w:numPr>
      </w:pPr>
      <w:r>
        <w:t>Aiding the new faculty member in fostering relationships and networking opportunities within the</w:t>
      </w:r>
      <w:r w:rsidR="003217E5">
        <w:t xml:space="preserve"> department,</w:t>
      </w:r>
      <w:r>
        <w:t xml:space="preserve"> </w:t>
      </w:r>
      <w:r w:rsidR="003217E5">
        <w:t>c</w:t>
      </w:r>
      <w:r>
        <w:t>ollege</w:t>
      </w:r>
      <w:r w:rsidR="003217E5">
        <w:t>,</w:t>
      </w:r>
      <w:r>
        <w:t xml:space="preserve"> and across the University</w:t>
      </w:r>
    </w:p>
    <w:p w14:paraId="400F837E" w14:textId="77777777" w:rsidR="00E55C55" w:rsidRDefault="00E55C55" w:rsidP="00DA04C7">
      <w:pPr>
        <w:pStyle w:val="ListParagraph"/>
        <w:numPr>
          <w:ilvl w:val="0"/>
          <w:numId w:val="9"/>
        </w:numPr>
      </w:pPr>
      <w:r>
        <w:t xml:space="preserve">Providing guidance on preparing effective documentation in the annual performance review process </w:t>
      </w:r>
    </w:p>
    <w:p w14:paraId="4E190575" w14:textId="77777777" w:rsidR="00E55C55" w:rsidRDefault="00E55C55" w:rsidP="00DA04C7">
      <w:pPr>
        <w:pStyle w:val="ListParagraph"/>
        <w:numPr>
          <w:ilvl w:val="0"/>
          <w:numId w:val="9"/>
        </w:numPr>
      </w:pPr>
      <w:r>
        <w:t xml:space="preserve">Advising the new faculty member regarding documents to keep and track for the promotion and tenure file </w:t>
      </w:r>
    </w:p>
    <w:p w14:paraId="4B1F4865" w14:textId="55F0A8DF" w:rsidR="003216D6" w:rsidRDefault="00E55C55" w:rsidP="00DA04C7">
      <w:pPr>
        <w:pStyle w:val="ListParagraph"/>
        <w:numPr>
          <w:ilvl w:val="0"/>
          <w:numId w:val="9"/>
        </w:numPr>
      </w:pPr>
      <w:r>
        <w:t>Assisting the new faculty member in creating their pre-tenure</w:t>
      </w:r>
      <w:r w:rsidR="003217E5">
        <w:t>/pre-promotion</w:t>
      </w:r>
      <w:r>
        <w:t xml:space="preserve"> review file and giving feedback about the file, in writing if requested, prior to submission</w:t>
      </w:r>
    </w:p>
    <w:p w14:paraId="5BD5AE91" w14:textId="4654F7AD" w:rsidR="000927B6" w:rsidRDefault="00E55C55" w:rsidP="008365CE">
      <w:pPr>
        <w:pStyle w:val="Heading2"/>
        <w:numPr>
          <w:ilvl w:val="1"/>
          <w:numId w:val="1"/>
        </w:numPr>
      </w:pPr>
      <w:r>
        <w:lastRenderedPageBreak/>
        <w:t>Pre-Tenure</w:t>
      </w:r>
      <w:r w:rsidR="003217E5">
        <w:t>/Pre-Promotion</w:t>
      </w:r>
      <w:r>
        <w:t xml:space="preserve"> Review</w:t>
      </w:r>
    </w:p>
    <w:p w14:paraId="68FDB4F8" w14:textId="25CC739C" w:rsidR="003216D6" w:rsidRDefault="001F606D" w:rsidP="008B6A26">
      <w:pPr>
        <w:pStyle w:val="ListParagraph"/>
        <w:ind w:left="740"/>
      </w:pPr>
      <w:r>
        <w:t>In accordance with § 6.</w:t>
      </w:r>
      <w:r w:rsidR="002D39D3">
        <w:t xml:space="preserve">2.1.5 of the University </w:t>
      </w:r>
      <w:r w:rsidR="002D39D3" w:rsidRPr="3AFE45F3">
        <w:rPr>
          <w:i/>
          <w:iCs/>
        </w:rPr>
        <w:t xml:space="preserve">Faculty Handbook, </w:t>
      </w:r>
      <w:r w:rsidR="002D39D3">
        <w:t>d</w:t>
      </w:r>
      <w:r w:rsidR="00346826">
        <w:t>uring a candidate’s third year of the probationary period, the candidate will submit a pre-tenure</w:t>
      </w:r>
      <w:r w:rsidR="00EE49C6">
        <w:t xml:space="preserve"> (for tenure-track faculty) or pre-promotion (for RTA faculty</w:t>
      </w:r>
      <w:r w:rsidR="0067210F">
        <w:t xml:space="preserve"> intending to apply for promotion</w:t>
      </w:r>
      <w:r w:rsidR="00EE49C6">
        <w:t>)</w:t>
      </w:r>
      <w:r w:rsidR="00346826">
        <w:t xml:space="preserve"> review file (excluding letters of recommendation) to a Pre-</w:t>
      </w:r>
      <w:r w:rsidR="00EE49C6">
        <w:t>T</w:t>
      </w:r>
      <w:r w:rsidR="00346826">
        <w:t>enure</w:t>
      </w:r>
      <w:r w:rsidR="00EE49C6">
        <w:t>/Pre-Promotion</w:t>
      </w:r>
      <w:r w:rsidR="00346826">
        <w:t xml:space="preserve"> Review Committee. </w:t>
      </w:r>
      <w:r w:rsidR="00AD2C03">
        <w:t xml:space="preserve">This file should include evidence through the fall semester of the candidate’s third year, though FAARs and APRs will only be included for the candidate’s first two years of employment. </w:t>
      </w:r>
      <w:r w:rsidR="00346826">
        <w:t xml:space="preserve">This committee serves to provide feedback to the candidate on the file contents and presentation </w:t>
      </w:r>
      <w:proofErr w:type="gramStart"/>
      <w:r w:rsidR="00346826">
        <w:t>with regard to</w:t>
      </w:r>
      <w:proofErr w:type="gramEnd"/>
      <w:r w:rsidR="00346826">
        <w:t xml:space="preserve"> the </w:t>
      </w:r>
      <w:r w:rsidR="00A8790D">
        <w:t>University’s</w:t>
      </w:r>
      <w:r w:rsidR="00346826">
        <w:t xml:space="preserve"> criteria for tenure, and to advise the candidate about whether, in the judgment of the committee, the candidate is on track to be successfully reviewed for tenure</w:t>
      </w:r>
      <w:r w:rsidR="00A8790D">
        <w:t xml:space="preserve"> and/or promotion</w:t>
      </w:r>
      <w:r w:rsidR="00346826">
        <w:t xml:space="preserve"> at the end of the probationary period.</w:t>
      </w:r>
      <w:r w:rsidR="009E2DC7">
        <w:t xml:space="preserve"> If an RTA </w:t>
      </w:r>
      <w:r w:rsidR="00CC3C0E">
        <w:t xml:space="preserve">faculty member does not intend to apply for promotion, they </w:t>
      </w:r>
      <w:r w:rsidR="00133FE8">
        <w:t xml:space="preserve">will submit a letter to their immediate supervisor (i.e., associate dean, department chair, or program director) stating, “I do not intend to apply for promotion, and therefore I waive my </w:t>
      </w:r>
      <w:r w:rsidR="00231BF2">
        <w:t>opportunity for a pre-promotion review. I understand that I can change my mind in the future and apply for promotion, but I will not receive feedback from a pre-promotion review.”</w:t>
      </w:r>
    </w:p>
    <w:p w14:paraId="0C4EA852" w14:textId="74EE9767" w:rsidR="005248C9" w:rsidRDefault="005248C9" w:rsidP="008365CE">
      <w:pPr>
        <w:pStyle w:val="Heading3"/>
        <w:numPr>
          <w:ilvl w:val="2"/>
          <w:numId w:val="1"/>
        </w:numPr>
      </w:pPr>
      <w:r>
        <w:t>Pre-Tenure</w:t>
      </w:r>
      <w:r w:rsidR="00A8790D">
        <w:t>/Pre-Promotion</w:t>
      </w:r>
      <w:r>
        <w:t xml:space="preserve"> Review Committees</w:t>
      </w:r>
    </w:p>
    <w:p w14:paraId="77590EA4" w14:textId="0C10D297" w:rsidR="003216D6" w:rsidRDefault="00346826" w:rsidP="008B6A26">
      <w:pPr>
        <w:pStyle w:val="ListParagraph"/>
        <w:ind w:left="1080"/>
      </w:pPr>
      <w:r>
        <w:t xml:space="preserve">Each committee shall consist of the candidate’s mentor and two additional members selected by the </w:t>
      </w:r>
      <w:r w:rsidR="00206CD0">
        <w:t>candidate’s immediate supervisor (i.e., associate dean, department chair, or program director)</w:t>
      </w:r>
      <w:r>
        <w:t>.</w:t>
      </w:r>
    </w:p>
    <w:p w14:paraId="1310AF0C" w14:textId="46B1F653" w:rsidR="00C3545C" w:rsidRDefault="005248C9" w:rsidP="008365CE">
      <w:pPr>
        <w:pStyle w:val="Heading3"/>
        <w:numPr>
          <w:ilvl w:val="2"/>
          <w:numId w:val="1"/>
        </w:numPr>
      </w:pPr>
      <w:r>
        <w:t>Pre-Tenure</w:t>
      </w:r>
      <w:r w:rsidR="00206CD0">
        <w:t>/Pre-Promotion</w:t>
      </w:r>
      <w:r>
        <w:t xml:space="preserve"> Review Schedule</w:t>
      </w:r>
    </w:p>
    <w:p w14:paraId="50BA6D2C" w14:textId="694F6B76" w:rsidR="00C3545C" w:rsidRDefault="006059EB" w:rsidP="00CB1327">
      <w:pPr>
        <w:pStyle w:val="ListParagraph"/>
        <w:ind w:left="1080"/>
      </w:pPr>
      <w:r>
        <w:t xml:space="preserve">Pre-tenure review credentials files will be submitted to the committee </w:t>
      </w:r>
      <w:r w:rsidR="000E36EF">
        <w:t xml:space="preserve">at the beginning of the spring semester of the candidate’s third year (or by a deadline established at the time of hire if the probationary period has been shortened). </w:t>
      </w:r>
      <w:r w:rsidR="00C26396">
        <w:t xml:space="preserve">The committee will provide </w:t>
      </w:r>
      <w:r>
        <w:t xml:space="preserve">its feedback to the candidate </w:t>
      </w:r>
      <w:r w:rsidR="00C26396">
        <w:t xml:space="preserve">and the dean </w:t>
      </w:r>
      <w:r>
        <w:t xml:space="preserve">by </w:t>
      </w:r>
      <w:r w:rsidR="00C26396">
        <w:t>March</w:t>
      </w:r>
      <w:r>
        <w:t xml:space="preserve"> 1 of the same year.</w:t>
      </w:r>
    </w:p>
    <w:p w14:paraId="0726E630" w14:textId="2723710A" w:rsidR="00AD7BE2" w:rsidRDefault="00AD7BE2" w:rsidP="00AD7BE2">
      <w:pPr>
        <w:pStyle w:val="Heading1"/>
        <w:numPr>
          <w:ilvl w:val="0"/>
          <w:numId w:val="1"/>
        </w:numPr>
      </w:pPr>
      <w:r>
        <w:t>Steps in the Promotion and Tenure Review Process</w:t>
      </w:r>
    </w:p>
    <w:p w14:paraId="455D9BF7" w14:textId="4CCCF8A4" w:rsidR="00A9565C" w:rsidRDefault="00335CBD" w:rsidP="00AD7BE2">
      <w:r>
        <w:t xml:space="preserve">The College of Education will adhere to the calendar determined by the </w:t>
      </w:r>
      <w:proofErr w:type="gramStart"/>
      <w:r>
        <w:t>Provost</w:t>
      </w:r>
      <w:proofErr w:type="gramEnd"/>
      <w:r>
        <w:t xml:space="preserve"> according to </w:t>
      </w:r>
      <w:r w:rsidR="00F04191">
        <w:t>S</w:t>
      </w:r>
      <w:r>
        <w:t xml:space="preserve">ection 7.8 of the </w:t>
      </w:r>
      <w:r w:rsidRPr="004D1F4F">
        <w:t>University</w:t>
      </w:r>
      <w:r w:rsidRPr="00335CBD">
        <w:rPr>
          <w:i/>
          <w:iCs/>
        </w:rPr>
        <w:t xml:space="preserve"> Faculty Handbook</w:t>
      </w:r>
      <w:r>
        <w:t xml:space="preserve">. The dates below are given to provide a general </w:t>
      </w:r>
      <w:proofErr w:type="gramStart"/>
      <w:r>
        <w:t>timeline</w:t>
      </w:r>
      <w:r w:rsidR="00730DB8">
        <w:t>, but</w:t>
      </w:r>
      <w:proofErr w:type="gramEnd"/>
      <w:r w:rsidR="00730DB8">
        <w:t xml:space="preserve"> should not be followed as official deadlines in the process</w:t>
      </w:r>
      <w:r>
        <w:t>.</w:t>
      </w:r>
    </w:p>
    <w:p w14:paraId="01610EF5" w14:textId="1E9DDF4E" w:rsidR="00A9565C" w:rsidRDefault="0074141C" w:rsidP="00EC1C77">
      <w:pPr>
        <w:pStyle w:val="Heading2"/>
        <w:numPr>
          <w:ilvl w:val="1"/>
          <w:numId w:val="1"/>
        </w:numPr>
      </w:pPr>
      <w:r>
        <w:lastRenderedPageBreak/>
        <w:t>Request for Review</w:t>
      </w:r>
    </w:p>
    <w:p w14:paraId="70A33DE3" w14:textId="4D770067" w:rsidR="003216D6" w:rsidRDefault="0074141C" w:rsidP="008B6A26">
      <w:pPr>
        <w:pStyle w:val="ListParagraph"/>
        <w:ind w:left="740"/>
      </w:pPr>
      <w:r>
        <w:t xml:space="preserve">By May 1 </w:t>
      </w:r>
      <w:r w:rsidR="00E070F7">
        <w:t xml:space="preserve">(or the next workday thereafter) </w:t>
      </w:r>
      <w:r>
        <w:t xml:space="preserve">of the spring semester preceding the final year of the </w:t>
      </w:r>
      <w:r w:rsidRPr="00FC707C">
        <w:t>probationary period</w:t>
      </w:r>
      <w:r w:rsidR="00990AFE" w:rsidRPr="00FC707C">
        <w:t xml:space="preserve"> (in the case of tenure) </w:t>
      </w:r>
      <w:r w:rsidR="00B1054B" w:rsidRPr="00FC707C">
        <w:t xml:space="preserve">or </w:t>
      </w:r>
      <w:r w:rsidR="0034717C" w:rsidRPr="00FC707C">
        <w:t>preceding the academic year in which the minimum requirements for consideration for promotion will have been met</w:t>
      </w:r>
      <w:r w:rsidR="00B1054B">
        <w:t xml:space="preserve"> (in the case of promotion)</w:t>
      </w:r>
      <w:r>
        <w:t xml:space="preserve">, </w:t>
      </w:r>
      <w:r w:rsidR="00C77101" w:rsidRPr="00795B50">
        <w:t xml:space="preserve">the candidate must submit a letter to the Dean requesting consideration for </w:t>
      </w:r>
      <w:r w:rsidR="00795B50" w:rsidRPr="00795B50">
        <w:t xml:space="preserve">tenure or </w:t>
      </w:r>
      <w:r w:rsidR="00C77101" w:rsidRPr="00795B50">
        <w:t>promotion in the next academic year.</w:t>
      </w:r>
      <w:r w:rsidR="00A70F67">
        <w:t xml:space="preserve"> </w:t>
      </w:r>
      <w:r w:rsidR="00D268E5" w:rsidRPr="00FC707C">
        <w:t xml:space="preserve">Should a faculty member not request </w:t>
      </w:r>
      <w:r w:rsidR="00D268E5" w:rsidRPr="00FC707C">
        <w:rPr>
          <w:i/>
          <w:iCs/>
        </w:rPr>
        <w:t>tenure</w:t>
      </w:r>
      <w:r w:rsidR="00D268E5" w:rsidRPr="00FC707C">
        <w:t xml:space="preserve"> as specified, they will be notified in writing that the seventh year of service will be the terminal year of employment at the University unless the individual is offered and elects to accept a renewable term contract without tenure.</w:t>
      </w:r>
      <w:r w:rsidR="00D268E5">
        <w:t xml:space="preserve"> </w:t>
      </w:r>
      <w:r w:rsidR="00A70F67">
        <w:t xml:space="preserve">The Dean will </w:t>
      </w:r>
      <w:r w:rsidR="006F7F0D">
        <w:t xml:space="preserve">verify </w:t>
      </w:r>
      <w:r w:rsidR="003A08DB">
        <w:t xml:space="preserve">that </w:t>
      </w:r>
      <w:r w:rsidR="006F7F0D">
        <w:t>the candidate’s length of service</w:t>
      </w:r>
      <w:r w:rsidR="003A08DB">
        <w:t xml:space="preserve"> meets minimum requirements</w:t>
      </w:r>
      <w:r w:rsidR="0024299A">
        <w:t xml:space="preserve">, </w:t>
      </w:r>
      <w:r w:rsidR="003A08DB">
        <w:t>as detailed in § 7.2</w:t>
      </w:r>
      <w:r w:rsidR="00BA7F8B">
        <w:t xml:space="preserve"> </w:t>
      </w:r>
      <w:r w:rsidR="0024299A">
        <w:t xml:space="preserve">(promotion) </w:t>
      </w:r>
      <w:r w:rsidR="00BA7F8B">
        <w:t xml:space="preserve">and/or </w:t>
      </w:r>
      <w:r w:rsidR="0024299A">
        <w:t xml:space="preserve">§ </w:t>
      </w:r>
      <w:r w:rsidR="00BA7F8B">
        <w:t>7.7</w:t>
      </w:r>
      <w:r w:rsidR="0024299A">
        <w:t xml:space="preserve"> (tenure)</w:t>
      </w:r>
      <w:r w:rsidR="006F7F0D">
        <w:t>.</w:t>
      </w:r>
      <w:r w:rsidR="00BF18E1">
        <w:t xml:space="preserve"> </w:t>
      </w:r>
      <w:r w:rsidR="00212312">
        <w:t xml:space="preserve">The individual responsible for </w:t>
      </w:r>
      <w:r w:rsidR="007F2E02">
        <w:t xml:space="preserve">annually </w:t>
      </w:r>
      <w:r w:rsidR="004C02B0">
        <w:t>evaluating each candidate’s performance</w:t>
      </w:r>
      <w:r w:rsidR="00907606">
        <w:t xml:space="preserve"> </w:t>
      </w:r>
      <w:r w:rsidR="00D77F82">
        <w:t xml:space="preserve">(i.e., </w:t>
      </w:r>
      <w:r w:rsidR="009A1259">
        <w:t xml:space="preserve">associate dean, program director, </w:t>
      </w:r>
      <w:r w:rsidR="00BA52AD">
        <w:t>or</w:t>
      </w:r>
      <w:r w:rsidR="009A1259">
        <w:t xml:space="preserve"> department chair</w:t>
      </w:r>
      <w:r w:rsidR="00D77F82">
        <w:t xml:space="preserve">) will also </w:t>
      </w:r>
      <w:r w:rsidR="00FE400F">
        <w:t xml:space="preserve">supervise the candidate’s </w:t>
      </w:r>
      <w:r w:rsidR="000A40C5">
        <w:t xml:space="preserve">file creation and </w:t>
      </w:r>
      <w:proofErr w:type="gramStart"/>
      <w:r w:rsidR="000A40C5">
        <w:t>submission</w:t>
      </w:r>
      <w:r w:rsidR="00005527">
        <w:t>, and</w:t>
      </w:r>
      <w:proofErr w:type="gramEnd"/>
      <w:r w:rsidR="00005527">
        <w:t xml:space="preserve"> will therefore be referred to as the “credentials file supervisor” throughout these procedures</w:t>
      </w:r>
      <w:r w:rsidR="000A40C5">
        <w:t>.</w:t>
      </w:r>
      <w:r w:rsidR="00C77101">
        <w:t xml:space="preserve"> </w:t>
      </w:r>
      <w:r>
        <w:t xml:space="preserve">In the case of </w:t>
      </w:r>
      <w:r w:rsidR="001C6836">
        <w:t xml:space="preserve">one of the credentials file supervisors </w:t>
      </w:r>
      <w:r w:rsidR="00DE23D6">
        <w:t xml:space="preserve">seeking promotion and/or </w:t>
      </w:r>
      <w:r>
        <w:t xml:space="preserve">tenure as a faculty member, the Dean, in consultation with the </w:t>
      </w:r>
      <w:r w:rsidR="00F20973">
        <w:t>faculty member</w:t>
      </w:r>
      <w:r w:rsidR="00F32A23">
        <w:t xml:space="preserve"> </w:t>
      </w:r>
      <w:r>
        <w:t>involved, shall appoint someone to act in the role of c</w:t>
      </w:r>
      <w:r w:rsidR="00F32A23">
        <w:t>redentials file supervisor.</w:t>
      </w:r>
      <w:r>
        <w:t xml:space="preserve"> </w:t>
      </w:r>
      <w:r w:rsidR="00452B80">
        <w:t>This individual should be from the individual’s department (whenever possible)</w:t>
      </w:r>
      <w:r w:rsidR="007C133B">
        <w:t xml:space="preserve"> and have both tenure and the rank of full professor. </w:t>
      </w:r>
      <w:r w:rsidR="00CB2C52">
        <w:t xml:space="preserve">The dean shall supply this appointee with the results of the teaching evaluation materials and a copy of the individual’s Annual Performance Review (APR) for each of the academic years </w:t>
      </w:r>
      <w:r w:rsidR="003E180A">
        <w:t xml:space="preserve">in the evaluation period (e.g., all six probationary years for tenure; </w:t>
      </w:r>
      <w:r w:rsidR="00FB5EA8">
        <w:t>all years since the candidate’s prior promotion for subsequent promotion)</w:t>
      </w:r>
      <w:r w:rsidR="00CB2C52">
        <w:t xml:space="preserve">. </w:t>
      </w:r>
    </w:p>
    <w:p w14:paraId="779B4C51" w14:textId="48381E49" w:rsidR="0074141C" w:rsidRDefault="00EE2031" w:rsidP="00EC1C77">
      <w:pPr>
        <w:pStyle w:val="Heading2"/>
        <w:numPr>
          <w:ilvl w:val="1"/>
          <w:numId w:val="1"/>
        </w:numPr>
      </w:pPr>
      <w:r>
        <w:t>Letters of Recommendation</w:t>
      </w:r>
    </w:p>
    <w:p w14:paraId="0E003CAA" w14:textId="09949DCB" w:rsidR="00CA6D99" w:rsidRPr="00CA6D99" w:rsidRDefault="00CA6D99" w:rsidP="00CA6D99">
      <w:pPr>
        <w:pStyle w:val="ListParagraph"/>
      </w:pPr>
      <w:r>
        <w:t>By June 1 (or the next workday thereafter) candidates for tenure and/or promotion shall submit to their credentials file supervisor a list from which to solicit letters of recommendation. This list shall include, but not be limited to, all tenured faculty</w:t>
      </w:r>
      <w:r w:rsidR="00C73B0C">
        <w:t xml:space="preserve"> (for tenure-track candidates)</w:t>
      </w:r>
      <w:r>
        <w:t xml:space="preserve"> or all promoted faculty</w:t>
      </w:r>
      <w:r w:rsidR="00C73B0C">
        <w:t xml:space="preserve"> (</w:t>
      </w:r>
      <w:r>
        <w:t xml:space="preserve">for RTA candidates) in the department, and three to five individuals who are faculty or professionals outside the department and/or University. All the letters solicited shall be from individuals knowledgeable about the candidate’s teaching, scholarship, professional development, and/or service. It is the credentials file supervisor’s responsibility to solicit a written evaluation and recommendation for or against tenure and/or promotion or a written statement of abstention from each tenured member of the candidate’s department, as well as to solicit letters from other individuals on the </w:t>
      </w:r>
      <w:r>
        <w:lastRenderedPageBreak/>
        <w:t>candidate’s list, including faculty or professionals outside the department and/or University. The credentials file supervisor’s request for letters of recommendation shall include the universal criteria for tenure and/or promotion established in Section 7 of the University</w:t>
      </w:r>
      <w:r w:rsidRPr="3AFE45F3">
        <w:rPr>
          <w:i/>
          <w:iCs/>
        </w:rPr>
        <w:t xml:space="preserve"> Faculty Handbook</w:t>
      </w:r>
      <w:r>
        <w:t xml:space="preserve">. All persons asked to write letters of recommendation shall be informed that these documents will be accessible to the faculty member. The credentials file supervisor shall promptly provide the candidate with a list of those from whom letters have been requested. The deadline for receipt of letters is </w:t>
      </w:r>
      <w:r w:rsidRPr="004D72DD">
        <w:t xml:space="preserve">August </w:t>
      </w:r>
      <w:r w:rsidR="002E0404">
        <w:t>29</w:t>
      </w:r>
      <w:r>
        <w:t xml:space="preserve"> (or the next workday thereafter). The credentials file supervisor shall be responsible for uploading these recommendations to the candidate’s file for inclusion in the candidate’s tenure and/or promotion credentials file. (See Section 3.4 below.)</w:t>
      </w:r>
    </w:p>
    <w:p w14:paraId="74A577B6" w14:textId="1E5AF2F3" w:rsidR="00CA6D99" w:rsidRPr="00CA6D99" w:rsidRDefault="00CA6D99" w:rsidP="00CA6D99">
      <w:pPr>
        <w:pStyle w:val="Heading3"/>
        <w:numPr>
          <w:ilvl w:val="2"/>
          <w:numId w:val="1"/>
        </w:numPr>
      </w:pPr>
      <w:r>
        <w:t>Peer Review</w:t>
      </w:r>
    </w:p>
    <w:p w14:paraId="750FDC24" w14:textId="06B65509" w:rsidR="008040A7" w:rsidRPr="008040A7" w:rsidRDefault="008040A7" w:rsidP="00CA6D99">
      <w:pPr>
        <w:ind w:left="1080"/>
      </w:pPr>
      <w:r>
        <w:t>For the letters from</w:t>
      </w:r>
      <w:r w:rsidR="000168FB">
        <w:t xml:space="preserve"> tenured (for tenure-track candidates) or </w:t>
      </w:r>
      <w:r w:rsidR="004124F7">
        <w:t>promoted (for RTA candidates)</w:t>
      </w:r>
      <w:r>
        <w:t xml:space="preserve"> departmental peers, a peer-review process will precede</w:t>
      </w:r>
      <w:r w:rsidR="003959F4">
        <w:t xml:space="preserve"> the writing of the letter.</w:t>
      </w:r>
      <w:r w:rsidR="004E780C">
        <w:t xml:space="preserve"> </w:t>
      </w:r>
      <w:r w:rsidR="004124F7">
        <w:t xml:space="preserve">By August 15, the credentials file supervisor shall provide all </w:t>
      </w:r>
      <w:r w:rsidR="00B1716E">
        <w:t>departmental peers qualified to write a letter for the candidate’s file</w:t>
      </w:r>
      <w:r w:rsidR="00220F68">
        <w:t xml:space="preserve"> (1) the candidate’s current CV, (2) all FAARs to date in the evaluation period, and (3) all APRs to date in the evaluation period. The letter of recommendation from departmental peers should speak to how these materials meet the universal criteria </w:t>
      </w:r>
      <w:r w:rsidR="007C0F31">
        <w:t>for tenure and/or promotion established in Section 7 of the University</w:t>
      </w:r>
      <w:r w:rsidR="007C0F31" w:rsidRPr="3AFE45F3">
        <w:rPr>
          <w:i/>
          <w:iCs/>
        </w:rPr>
        <w:t xml:space="preserve"> Faculty Handbook</w:t>
      </w:r>
      <w:r w:rsidR="007C0F31">
        <w:rPr>
          <w:i/>
          <w:iCs/>
        </w:rPr>
        <w:t>.</w:t>
      </w:r>
      <w:r w:rsidR="007C0F31">
        <w:t xml:space="preserve"> Letter writers may also provide supplemental evidence in their letters of </w:t>
      </w:r>
      <w:r w:rsidR="00537269">
        <w:t xml:space="preserve">direct </w:t>
      </w:r>
      <w:r w:rsidR="007C0F31">
        <w:t xml:space="preserve">engagement </w:t>
      </w:r>
      <w:r w:rsidR="00537269">
        <w:t>with the candidate</w:t>
      </w:r>
      <w:r w:rsidR="00920306">
        <w:t xml:space="preserve"> in matters related to the universal criteria for tenure and/or promotion</w:t>
      </w:r>
      <w:r w:rsidR="00537269">
        <w:t>.</w:t>
      </w:r>
      <w:r w:rsidR="007C0F31">
        <w:t xml:space="preserve"> </w:t>
      </w:r>
      <w:r w:rsidR="004E780C">
        <w:t>If a faculty member, after being requested to submit a recommendation, declines or fails to present a written recommendation, the procedure for determining tenure shall proceed, and the fact that one or more recommendations are not obtained shall not void the process.</w:t>
      </w:r>
      <w:r w:rsidR="00920306">
        <w:t xml:space="preserve"> Furthermore, if a departmental peer is serving on the </w:t>
      </w:r>
      <w:r w:rsidR="008A5329">
        <w:t>CEHD</w:t>
      </w:r>
      <w:r w:rsidR="00920306">
        <w:t xml:space="preserve"> Promotion and Tenure Committee, they can choose to </w:t>
      </w:r>
      <w:r w:rsidR="008D6AD9">
        <w:t xml:space="preserve">abstain from reviewing (1) the candidate’s current CV, (2) all FAARs to date in the evaluation period, and (3) all APRs to date in the evaluation period, as this will be part of the committee’s </w:t>
      </w:r>
      <w:r w:rsidR="005B01BE">
        <w:t xml:space="preserve">subsequent </w:t>
      </w:r>
      <w:r w:rsidR="008D6AD9">
        <w:t>work, but instead to only provide supplemental evidence in their letters of direct engagement with the candidate in matters related to the universal criteria for tenure and/or promotion.</w:t>
      </w:r>
    </w:p>
    <w:p w14:paraId="47CD1A1D" w14:textId="08DC9F05" w:rsidR="00EE2031" w:rsidRDefault="00B54D99" w:rsidP="00EC1C77">
      <w:pPr>
        <w:pStyle w:val="Heading2"/>
        <w:numPr>
          <w:ilvl w:val="1"/>
          <w:numId w:val="1"/>
        </w:numPr>
      </w:pPr>
      <w:r>
        <w:lastRenderedPageBreak/>
        <w:t>Credentials File Supervisor</w:t>
      </w:r>
      <w:r w:rsidR="00CD7E05">
        <w:t>’s Recommendation</w:t>
      </w:r>
    </w:p>
    <w:p w14:paraId="74929501" w14:textId="3DE4DBB0" w:rsidR="003216D6" w:rsidRDefault="00091492" w:rsidP="008B6A26">
      <w:pPr>
        <w:pStyle w:val="ListParagraph"/>
        <w:ind w:left="740"/>
      </w:pPr>
      <w:r>
        <w:t xml:space="preserve">By </w:t>
      </w:r>
      <w:r w:rsidR="00E045B8">
        <w:t>September 5</w:t>
      </w:r>
      <w:r w:rsidR="00E070F7">
        <w:t xml:space="preserve"> (or the next workday thereafter)</w:t>
      </w:r>
      <w:r>
        <w:t xml:space="preserve">, the </w:t>
      </w:r>
      <w:r w:rsidR="008D4BC7">
        <w:t xml:space="preserve">credentials file supervisor </w:t>
      </w:r>
      <w:r>
        <w:t xml:space="preserve">shall review their written recommendation regarding </w:t>
      </w:r>
      <w:r w:rsidRPr="00003BEE">
        <w:t>tenure</w:t>
      </w:r>
      <w:r w:rsidR="00003BEE">
        <w:t xml:space="preserve"> and/or promotion</w:t>
      </w:r>
      <w:r>
        <w:t xml:space="preserve"> and the reasons for the recommendation with the faculty member. The faculty member may submit a letter of exception to the Dean by </w:t>
      </w:r>
      <w:r w:rsidR="006569DC">
        <w:t>September 12</w:t>
      </w:r>
      <w:r w:rsidR="00E070F7">
        <w:t xml:space="preserve"> (or the next workday thereafter)</w:t>
      </w:r>
      <w:r>
        <w:t xml:space="preserve">. </w:t>
      </w:r>
    </w:p>
    <w:p w14:paraId="34ACD1ED" w14:textId="49E4C4D0" w:rsidR="00091492" w:rsidRDefault="00091492" w:rsidP="00EC1C77">
      <w:pPr>
        <w:pStyle w:val="Heading2"/>
        <w:numPr>
          <w:ilvl w:val="1"/>
          <w:numId w:val="1"/>
        </w:numPr>
      </w:pPr>
      <w:r>
        <w:t>Digital Tenure and</w:t>
      </w:r>
      <w:r w:rsidR="00003BEE">
        <w:t>/or</w:t>
      </w:r>
      <w:r>
        <w:t xml:space="preserve"> Promotion File</w:t>
      </w:r>
    </w:p>
    <w:p w14:paraId="4DAAEB94" w14:textId="57443E79" w:rsidR="003216D6" w:rsidRDefault="00B243AE" w:rsidP="008B6A26">
      <w:pPr>
        <w:pStyle w:val="ListParagraph"/>
        <w:ind w:left="740"/>
      </w:pPr>
      <w:r>
        <w:t xml:space="preserve">By </w:t>
      </w:r>
      <w:r w:rsidR="00A80295">
        <w:t>September 12</w:t>
      </w:r>
      <w:r>
        <w:t xml:space="preserve"> (or the next workday thereafter), each candidate for tenure </w:t>
      </w:r>
      <w:r w:rsidR="00AA6211">
        <w:t>and/</w:t>
      </w:r>
      <w:r>
        <w:t xml:space="preserve">or promotion shall prepare a digital credentials file. This file will be constructed in Canvas. The </w:t>
      </w:r>
      <w:r w:rsidR="00B74F8A">
        <w:t xml:space="preserve">credentials file supervisor </w:t>
      </w:r>
      <w:r>
        <w:t>will create a Canvas course for the candidate (titled “[Candidate Last Name]’s Digital Promotion and</w:t>
      </w:r>
      <w:r w:rsidR="009D7156">
        <w:t>/or</w:t>
      </w:r>
      <w:r>
        <w:t xml:space="preserve"> Tenure File”) and populate it with a promotion and tenure Canvas Page template that includes required components listed in </w:t>
      </w:r>
      <w:r w:rsidR="00B20AAE">
        <w:t>Section 4.1 below</w:t>
      </w:r>
      <w:r>
        <w:t xml:space="preserve">. It shall be the responsibility of the faculty member to include all pertinent data they wish to have included in the file. Once the candidate is added as a “Teacher” of this course, the </w:t>
      </w:r>
      <w:r w:rsidR="009D7156">
        <w:t>credentials file supervisor</w:t>
      </w:r>
      <w:r>
        <w:t xml:space="preserve"> is removed until construction is complete. The candidate is responsible for re-naming the Canvas Page as well as all digital file folders to begin with their last name. Furthermore, all documents must be housed within digital file folders. The candidate can organize these files however they wish, </w:t>
      </w:r>
      <w:proofErr w:type="gramStart"/>
      <w:r>
        <w:t>as long as</w:t>
      </w:r>
      <w:proofErr w:type="gramEnd"/>
      <w:r>
        <w:t xml:space="preserve"> (1) no documents are stored outside of file folders and (2) all file folders’ names begin with the candidate’s last name. The candidate is not responsible for adding letters of recommendation (see </w:t>
      </w:r>
      <w:r w:rsidR="00DB14E7">
        <w:t xml:space="preserve">Section </w:t>
      </w:r>
      <w:r w:rsidR="00DB14E7" w:rsidRPr="00DB14E7">
        <w:t>3.</w:t>
      </w:r>
      <w:r w:rsidRPr="00DB14E7">
        <w:t>2</w:t>
      </w:r>
      <w:r w:rsidR="00DB14E7">
        <w:t xml:space="preserve"> above</w:t>
      </w:r>
      <w:r>
        <w:t xml:space="preserve">). By </w:t>
      </w:r>
      <w:r w:rsidR="00C568DC">
        <w:t>September 12</w:t>
      </w:r>
      <w:r>
        <w:t xml:space="preserve"> (or the next workday thereafter), the candidate will add the </w:t>
      </w:r>
      <w:r w:rsidR="00ED10A9">
        <w:t>credentials file supervisor</w:t>
      </w:r>
      <w:r>
        <w:t xml:space="preserve"> back into their Canvas course to access the digital credentials file. The </w:t>
      </w:r>
      <w:r w:rsidR="00ED10A9">
        <w:t>credentials file supervisor</w:t>
      </w:r>
      <w:r>
        <w:t xml:space="preserve"> is then responsible for copying the candidate’s Canvas Page and digital file folders into the </w:t>
      </w:r>
      <w:r w:rsidR="008A5329">
        <w:t xml:space="preserve">CEHD </w:t>
      </w:r>
      <w:r>
        <w:t xml:space="preserve">Promotion &amp; Tenure Committee Canvas course. Once copied into this space, the </w:t>
      </w:r>
      <w:r w:rsidR="00ED10A9">
        <w:t>credentials file supervisor</w:t>
      </w:r>
      <w:r>
        <w:t xml:space="preserve"> will upload the candidate’s letters of recommendation </w:t>
      </w:r>
      <w:proofErr w:type="gramStart"/>
      <w:r>
        <w:t>and also</w:t>
      </w:r>
      <w:proofErr w:type="gramEnd"/>
      <w:r>
        <w:t xml:space="preserve"> provide printed copies of these letters for inclusion in the candidate’s personnel file. For the remainder of the decision-making process, this completed digital file in the </w:t>
      </w:r>
      <w:r w:rsidR="008A5329">
        <w:t xml:space="preserve">CEHD </w:t>
      </w:r>
      <w:r>
        <w:t xml:space="preserve">Promotion and Tenure Committee Canvas course shall constitute the exclusive official written record of the procedure. The file shall be accessible only to the faculty member involved, the </w:t>
      </w:r>
      <w:r w:rsidR="008A5329">
        <w:t>CEHD</w:t>
      </w:r>
      <w:r w:rsidR="00DF4A2E">
        <w:t xml:space="preserve"> </w:t>
      </w:r>
      <w:r>
        <w:t>P&amp;T Committee, the Dean, the Provost, the President, and the Board of Visitors. In case an appeal is submitted by the candidate, the associated appeals committee shall also have access to the candidate’s tenure and promotion credentials file.</w:t>
      </w:r>
    </w:p>
    <w:p w14:paraId="7452307F" w14:textId="7E4E05A3" w:rsidR="00081A33" w:rsidRDefault="00081A33" w:rsidP="00EC1C77">
      <w:pPr>
        <w:pStyle w:val="Heading2"/>
        <w:numPr>
          <w:ilvl w:val="1"/>
          <w:numId w:val="1"/>
        </w:numPr>
      </w:pPr>
      <w:r>
        <w:lastRenderedPageBreak/>
        <w:t>Candidate</w:t>
      </w:r>
      <w:r w:rsidR="00FC77A6">
        <w:t>’</w:t>
      </w:r>
      <w:r>
        <w:t>s Access to File</w:t>
      </w:r>
    </w:p>
    <w:p w14:paraId="2AD26BE3" w14:textId="4C56BC1A" w:rsidR="003216D6" w:rsidRDefault="00FC77A6" w:rsidP="008B6A26">
      <w:pPr>
        <w:pStyle w:val="ListParagraph"/>
        <w:ind w:left="740"/>
      </w:pPr>
      <w:r>
        <w:t xml:space="preserve">The candidate retains permanent access to their original Canvas course with their promotion and tenure materials. Between </w:t>
      </w:r>
      <w:r w:rsidR="00CD402F">
        <w:t>September 12</w:t>
      </w:r>
      <w:r>
        <w:t xml:space="preserve"> and September </w:t>
      </w:r>
      <w:r w:rsidR="00DF5D20">
        <w:t>19</w:t>
      </w:r>
      <w:r w:rsidR="00E070F7">
        <w:t xml:space="preserve"> (or the next workdays thereafter)</w:t>
      </w:r>
      <w:r>
        <w:t xml:space="preserve">, when the candidate’s </w:t>
      </w:r>
      <w:r w:rsidR="00AA6211" w:rsidRPr="00003BEE">
        <w:t>tenure</w:t>
      </w:r>
      <w:r w:rsidR="00AA6211">
        <w:t xml:space="preserve"> and/or promotion</w:t>
      </w:r>
      <w:r>
        <w:t xml:space="preserve"> credentials file is made available to the P&amp;T Committee, the candidate will schedule a meeting with the </w:t>
      </w:r>
      <w:r w:rsidR="00F645EB">
        <w:t>credentials file supervisor</w:t>
      </w:r>
      <w:r>
        <w:t xml:space="preserve"> to review the copy of the digital file in the </w:t>
      </w:r>
      <w:r w:rsidR="008A5329">
        <w:t xml:space="preserve">CEHD </w:t>
      </w:r>
      <w:r>
        <w:t xml:space="preserve">Promotion and Tenure Committee Canvas course to ensure all materials were transferred correctly. During this meeting, the candidate may not remove, modify, or add files. The candidate has the right to review all materials in the file and to write a letter of exception or explication for inclusion in the file by September </w:t>
      </w:r>
      <w:r w:rsidR="005424BE">
        <w:t>12</w:t>
      </w:r>
      <w:r>
        <w:t xml:space="preserve"> (or the next workday thereafter). After the appeals are exhausted, any materials supplied by the Dean, the letters of recommendation, and any letters of exception from the candidate’s </w:t>
      </w:r>
      <w:r w:rsidR="00AA6211" w:rsidRPr="00003BEE">
        <w:t>tenure</w:t>
      </w:r>
      <w:r w:rsidR="00AA6211">
        <w:t xml:space="preserve"> and/or promotion </w:t>
      </w:r>
      <w:r>
        <w:t xml:space="preserve">credentials file shall be inserted in the faculty member’s University personnel file (see University </w:t>
      </w:r>
      <w:r w:rsidRPr="00BC3060">
        <w:rPr>
          <w:i/>
          <w:iCs/>
        </w:rPr>
        <w:t>Faculty Handbook</w:t>
      </w:r>
      <w:r w:rsidRPr="0002200A">
        <w:t>, §</w:t>
      </w:r>
      <w:r w:rsidR="0002200A">
        <w:t xml:space="preserve"> </w:t>
      </w:r>
      <w:r w:rsidRPr="0002200A">
        <w:t>3.13.</w:t>
      </w:r>
      <w:r w:rsidR="0002200A">
        <w:t>2.2</w:t>
      </w:r>
      <w:r>
        <w:t>); materials submitted by the candidate shall be returned to them.</w:t>
      </w:r>
    </w:p>
    <w:p w14:paraId="5769A6B8" w14:textId="2D1E4665" w:rsidR="00CD7E05" w:rsidRDefault="0004715E" w:rsidP="00EC1C77">
      <w:pPr>
        <w:pStyle w:val="Heading2"/>
        <w:numPr>
          <w:ilvl w:val="1"/>
          <w:numId w:val="1"/>
        </w:numPr>
      </w:pPr>
      <w:r>
        <w:t>Review by Promotion and Tenure Committee</w:t>
      </w:r>
    </w:p>
    <w:p w14:paraId="39237ABB" w14:textId="1FED581A" w:rsidR="003216D6" w:rsidRDefault="0004715E" w:rsidP="008B6A26">
      <w:pPr>
        <w:pStyle w:val="ListParagraph"/>
        <w:ind w:left="740"/>
      </w:pPr>
      <w:r>
        <w:t xml:space="preserve">On September </w:t>
      </w:r>
      <w:r w:rsidR="00B52A7F">
        <w:t>19</w:t>
      </w:r>
      <w:r w:rsidR="00E070F7">
        <w:t xml:space="preserve"> (or the next workday thereafter)</w:t>
      </w:r>
      <w:r>
        <w:t xml:space="preserve">, the </w:t>
      </w:r>
      <w:r w:rsidR="00F961ED">
        <w:t>credentials file supervisor</w:t>
      </w:r>
      <w:r>
        <w:t xml:space="preserve"> adds the Dean and the P&amp;T Committee members to the </w:t>
      </w:r>
      <w:r w:rsidR="008A5329">
        <w:t xml:space="preserve">CEHD </w:t>
      </w:r>
      <w:r>
        <w:t xml:space="preserve">P&amp;T Committee Canvas course, where the </w:t>
      </w:r>
      <w:r w:rsidR="00F961ED">
        <w:t>credentials file supervisor</w:t>
      </w:r>
      <w:r>
        <w:t xml:space="preserve"> has compiled all candidates’ materials. These materials will be accessible as Canvas Page links on the main </w:t>
      </w:r>
      <w:r w:rsidR="008A5329">
        <w:t>CEHD</w:t>
      </w:r>
      <w:r w:rsidR="0002091B">
        <w:t xml:space="preserve"> </w:t>
      </w:r>
      <w:r>
        <w:t xml:space="preserve">P&amp;T Committee Canvas course homepage. The </w:t>
      </w:r>
      <w:r w:rsidR="008A5329">
        <w:t>CEHD</w:t>
      </w:r>
      <w:r>
        <w:t xml:space="preserve"> P&amp;T Committee chair will be added as a “Teacher;” everyone else in the course (Dean, </w:t>
      </w:r>
      <w:r w:rsidR="00DB3680">
        <w:t>credentials file supervisor</w:t>
      </w:r>
      <w:r>
        <w:t xml:space="preserve">, and other committee members) will be added as “Students.” The P&amp;T Committee shall carefully review each </w:t>
      </w:r>
      <w:r w:rsidR="00B85164" w:rsidRPr="00003BEE">
        <w:t>tenure</w:t>
      </w:r>
      <w:r w:rsidR="00B85164">
        <w:t xml:space="preserve"> and/or promotion</w:t>
      </w:r>
      <w:r>
        <w:t xml:space="preserve"> credentials file according to its duties listed in </w:t>
      </w:r>
      <w:r w:rsidR="0002200A">
        <w:t>S</w:t>
      </w:r>
      <w:r>
        <w:t xml:space="preserve">ection </w:t>
      </w:r>
      <w:r w:rsidR="0002200A">
        <w:t>5.5 below</w:t>
      </w:r>
      <w:r>
        <w:t xml:space="preserve">, the criteria for </w:t>
      </w:r>
      <w:r w:rsidR="00B85164" w:rsidRPr="00003BEE">
        <w:t>tenure</w:t>
      </w:r>
      <w:r w:rsidR="00B85164">
        <w:t xml:space="preserve"> and/or promotion</w:t>
      </w:r>
      <w:r>
        <w:t xml:space="preserve"> listed </w:t>
      </w:r>
      <w:r w:rsidR="00DB3680">
        <w:t xml:space="preserve">in § 7.3 of the </w:t>
      </w:r>
      <w:r w:rsidR="00DB3680" w:rsidRPr="00FD472F">
        <w:t xml:space="preserve">University </w:t>
      </w:r>
      <w:r w:rsidR="00DB3680">
        <w:rPr>
          <w:i/>
          <w:iCs/>
        </w:rPr>
        <w:t>Faculty Handbook</w:t>
      </w:r>
      <w:r w:rsidR="00DB3680">
        <w:t>,</w:t>
      </w:r>
      <w:r>
        <w:t xml:space="preserve"> and the expectations for participants in the process listed in </w:t>
      </w:r>
      <w:r w:rsidR="00FD472F">
        <w:t>S</w:t>
      </w:r>
      <w:r>
        <w:t xml:space="preserve">ection </w:t>
      </w:r>
      <w:r w:rsidR="00FD472F">
        <w:t>5</w:t>
      </w:r>
      <w:r>
        <w:t xml:space="preserve"> below. The review will be completed within Canvas; no committee members should download any files to their computers during the review process. The recommendations and justifications of the committee shall be </w:t>
      </w:r>
      <w:r w:rsidRPr="00B85164">
        <w:t>included in the appropriate credentials files</w:t>
      </w:r>
      <w:r>
        <w:t xml:space="preserve"> and submitted to the Dean by January </w:t>
      </w:r>
      <w:r w:rsidR="00B52A7F">
        <w:t>9</w:t>
      </w:r>
      <w:r>
        <w:t xml:space="preserve"> (or the next workday thereafter). Within one week (five working days), the Dean shall inform each candidate for tenure of the P&amp;T Committee’s recommendation, of the justifications for the recommendation pertaining to them, and of the faculty member’s right to appeal.</w:t>
      </w:r>
    </w:p>
    <w:p w14:paraId="0B379706" w14:textId="672C98B8" w:rsidR="00BD374E" w:rsidRDefault="00BD374E" w:rsidP="00EC1C77">
      <w:pPr>
        <w:pStyle w:val="Heading2"/>
        <w:numPr>
          <w:ilvl w:val="1"/>
          <w:numId w:val="1"/>
        </w:numPr>
      </w:pPr>
      <w:r>
        <w:lastRenderedPageBreak/>
        <w:t>Appeal of Committee Decision</w:t>
      </w:r>
    </w:p>
    <w:p w14:paraId="1301272D" w14:textId="6666368F" w:rsidR="00752C6D" w:rsidRDefault="00BD374E" w:rsidP="008B6A26">
      <w:pPr>
        <w:pStyle w:val="ListParagraph"/>
        <w:ind w:left="740"/>
      </w:pPr>
      <w:r>
        <w:t>No later than January 1</w:t>
      </w:r>
      <w:r w:rsidR="00D133C4">
        <w:t>9</w:t>
      </w:r>
      <w:r>
        <w:t xml:space="preserve"> (or the next workday thereafter), faculty members requesting </w:t>
      </w:r>
      <w:r w:rsidR="00B85164">
        <w:t xml:space="preserve">tenure and/or promotion </w:t>
      </w:r>
      <w:r>
        <w:t xml:space="preserve">may appeal the recommendations of the P&amp;T Committee by submitting a request for reconsideration and justification for such reconsideration </w:t>
      </w:r>
      <w:proofErr w:type="gramStart"/>
      <w:r>
        <w:t>on the basis of</w:t>
      </w:r>
      <w:proofErr w:type="gramEnd"/>
      <w:r>
        <w:t xml:space="preserve"> procedural or substantive grounds to the Dean. In each instance when an appeal is requested, the Dean shall, within one working week, establish a Tenure Appeal Advisory Committee (TAAC)</w:t>
      </w:r>
      <w:r w:rsidR="005B1A62">
        <w:t xml:space="preserve"> or a Promotion Appeal Advisory Committee (PAAC)</w:t>
      </w:r>
      <w:r>
        <w:t>, which shall be composed of</w:t>
      </w:r>
      <w:r w:rsidR="00910B5F">
        <w:t>:</w:t>
      </w:r>
    </w:p>
    <w:p w14:paraId="1B239E01" w14:textId="635800CF" w:rsidR="00752C6D" w:rsidRDefault="00752C6D" w:rsidP="00752C6D">
      <w:pPr>
        <w:pStyle w:val="ListParagraph"/>
        <w:numPr>
          <w:ilvl w:val="0"/>
          <w:numId w:val="11"/>
        </w:numPr>
      </w:pPr>
      <w:r>
        <w:t>O</w:t>
      </w:r>
      <w:r w:rsidR="00BD374E">
        <w:t xml:space="preserve">ne </w:t>
      </w:r>
      <w:r w:rsidR="008A5329">
        <w:t>CEHD</w:t>
      </w:r>
      <w:r w:rsidR="00D93604">
        <w:t xml:space="preserve"> </w:t>
      </w:r>
      <w:r w:rsidR="00BD374E">
        <w:t xml:space="preserve">member </w:t>
      </w:r>
      <w:r w:rsidR="00E97C6B">
        <w:t xml:space="preserve">(current or past) </w:t>
      </w:r>
      <w:r w:rsidR="00BD374E">
        <w:t xml:space="preserve">of </w:t>
      </w:r>
      <w:r w:rsidR="00D93604">
        <w:t>University Faculty Affairs Committee</w:t>
      </w:r>
      <w:r w:rsidR="00E97C6B">
        <w:t>,</w:t>
      </w:r>
      <w:r w:rsidR="004E3C13">
        <w:t xml:space="preserve"> </w:t>
      </w:r>
      <w:r w:rsidR="003102EF">
        <w:t>s</w:t>
      </w:r>
      <w:r w:rsidR="00A811A2">
        <w:t xml:space="preserve">elected by the </w:t>
      </w:r>
      <w:r w:rsidR="00E97C6B">
        <w:t xml:space="preserve">current </w:t>
      </w:r>
      <w:r w:rsidR="008A5329">
        <w:t>CEHD</w:t>
      </w:r>
      <w:r w:rsidR="004E3C13">
        <w:t xml:space="preserve"> member</w:t>
      </w:r>
      <w:r w:rsidR="004E17E7">
        <w:t>(s)</w:t>
      </w:r>
      <w:r w:rsidR="004E3C13">
        <w:t xml:space="preserve"> </w:t>
      </w:r>
      <w:r w:rsidR="00E97C6B">
        <w:t xml:space="preserve">of </w:t>
      </w:r>
      <w:proofErr w:type="gramStart"/>
      <w:r w:rsidR="00E97C6B">
        <w:t>UFAC</w:t>
      </w:r>
      <w:r w:rsidR="00FE66E5">
        <w:t>;</w:t>
      </w:r>
      <w:proofErr w:type="gramEnd"/>
    </w:p>
    <w:p w14:paraId="07582A48" w14:textId="77777777" w:rsidR="00752C6D" w:rsidRDefault="00752C6D" w:rsidP="00752C6D">
      <w:pPr>
        <w:pStyle w:val="ListParagraph"/>
        <w:numPr>
          <w:ilvl w:val="0"/>
          <w:numId w:val="11"/>
        </w:numPr>
      </w:pPr>
      <w:r>
        <w:t>O</w:t>
      </w:r>
      <w:r w:rsidR="00BD374E">
        <w:t xml:space="preserve">ne member appointed by the </w:t>
      </w:r>
      <w:proofErr w:type="gramStart"/>
      <w:r w:rsidR="00BD374E">
        <w:t>Dean</w:t>
      </w:r>
      <w:r>
        <w:t>;</w:t>
      </w:r>
      <w:proofErr w:type="gramEnd"/>
    </w:p>
    <w:p w14:paraId="5959DE68" w14:textId="77777777" w:rsidR="00752C6D" w:rsidRDefault="00752C6D" w:rsidP="00752C6D">
      <w:pPr>
        <w:pStyle w:val="ListParagraph"/>
        <w:numPr>
          <w:ilvl w:val="0"/>
          <w:numId w:val="11"/>
        </w:numPr>
      </w:pPr>
      <w:r>
        <w:t>O</w:t>
      </w:r>
      <w:r w:rsidR="00BD374E">
        <w:t xml:space="preserve">ne member appointed by the </w:t>
      </w:r>
      <w:proofErr w:type="gramStart"/>
      <w:r w:rsidR="00BD374E">
        <w:t>Provost</w:t>
      </w:r>
      <w:proofErr w:type="gramEnd"/>
      <w:r>
        <w:t>;</w:t>
      </w:r>
      <w:r w:rsidR="00BD374E">
        <w:t xml:space="preserve"> and </w:t>
      </w:r>
    </w:p>
    <w:p w14:paraId="0167D25B" w14:textId="77777777" w:rsidR="00752C6D" w:rsidRDefault="00752C6D" w:rsidP="00752C6D">
      <w:pPr>
        <w:pStyle w:val="ListParagraph"/>
        <w:numPr>
          <w:ilvl w:val="0"/>
          <w:numId w:val="11"/>
        </w:numPr>
      </w:pPr>
      <w:r>
        <w:t>O</w:t>
      </w:r>
      <w:r w:rsidR="00BD374E">
        <w:t xml:space="preserve">ne member appointed by the appellant. </w:t>
      </w:r>
    </w:p>
    <w:p w14:paraId="1BE5434E" w14:textId="3F08E165" w:rsidR="003216D6" w:rsidRDefault="00BD374E" w:rsidP="00752C6D">
      <w:pPr>
        <w:ind w:left="810"/>
      </w:pPr>
      <w:r>
        <w:t>No person on the TAAC</w:t>
      </w:r>
      <w:r w:rsidR="005B1A62">
        <w:t xml:space="preserve"> or PAAC</w:t>
      </w:r>
      <w:r>
        <w:t xml:space="preserve"> should be a member of the Promotion and Tenure Committee that rendered the tenure recommendation being appealed. No person on the TAAC</w:t>
      </w:r>
      <w:r w:rsidR="005B1A62">
        <w:t xml:space="preserve"> or PAAC</w:t>
      </w:r>
      <w:r>
        <w:t>, other than the person selected by the appellant, should be a faculty member who has written a letter of recommendation for the candidate’s tenure file. All members of the TAAC</w:t>
      </w:r>
      <w:r w:rsidR="005B1A62">
        <w:t xml:space="preserve"> or PAAC</w:t>
      </w:r>
      <w:r>
        <w:t xml:space="preserve"> shall be tenured</w:t>
      </w:r>
      <w:r w:rsidR="00595317">
        <w:t xml:space="preserve"> and/or promoted</w:t>
      </w:r>
      <w:r w:rsidR="00ED4E56">
        <w:t xml:space="preserve"> </w:t>
      </w:r>
      <w:r w:rsidR="00E677AB">
        <w:t xml:space="preserve">at least at the rank </w:t>
      </w:r>
      <w:r w:rsidR="00C43CF7">
        <w:t xml:space="preserve">the candidate is applying to </w:t>
      </w:r>
      <w:r w:rsidR="00A73010">
        <w:t>receive</w:t>
      </w:r>
      <w:r w:rsidR="00D9739A">
        <w:t xml:space="preserve"> (i.e., a PAAC for a full </w:t>
      </w:r>
      <w:r w:rsidR="00BA569F">
        <w:t>professor candidate</w:t>
      </w:r>
      <w:r w:rsidR="00DE1A8D">
        <w:t xml:space="preserve"> should consist of all full professors</w:t>
      </w:r>
      <w:r w:rsidR="004B232D">
        <w:t>)</w:t>
      </w:r>
      <w:r>
        <w:t>.</w:t>
      </w:r>
      <w:r w:rsidR="00FE66E5">
        <w:t xml:space="preserve"> </w:t>
      </w:r>
      <w:r>
        <w:t xml:space="preserve">If no </w:t>
      </w:r>
      <w:r w:rsidR="008A5329">
        <w:t xml:space="preserve">CEHD </w:t>
      </w:r>
      <w:r>
        <w:t xml:space="preserve">member of the </w:t>
      </w:r>
      <w:r w:rsidR="00FE66E5" w:rsidRPr="00EE39D9">
        <w:t>University</w:t>
      </w:r>
      <w:r w:rsidRPr="00EE39D9">
        <w:t xml:space="preserve"> Faculty Affairs Committee</w:t>
      </w:r>
      <w:r>
        <w:t xml:space="preserve"> </w:t>
      </w:r>
      <w:r w:rsidR="008F78C1">
        <w:t xml:space="preserve">is </w:t>
      </w:r>
      <w:r>
        <w:t>eligible to serve on the TAAC</w:t>
      </w:r>
      <w:r w:rsidR="005B1A62">
        <w:t xml:space="preserve"> or PAAC</w:t>
      </w:r>
      <w:r>
        <w:t xml:space="preserve">, then the </w:t>
      </w:r>
      <w:r w:rsidR="00214405">
        <w:t xml:space="preserve">current </w:t>
      </w:r>
      <w:r w:rsidR="008A5329">
        <w:t>CEHD</w:t>
      </w:r>
      <w:r w:rsidR="00FE66E5">
        <w:t xml:space="preserve"> member of UFAC may appoint someone else to fill this role, with preference for a former external member of the </w:t>
      </w:r>
      <w:r w:rsidR="008A5329">
        <w:t>CEHD</w:t>
      </w:r>
      <w:r w:rsidR="00FE66E5">
        <w:t xml:space="preserve"> Promotion and Tenure Committee</w:t>
      </w:r>
      <w:r w:rsidR="00F212C6">
        <w:t>.</w:t>
      </w:r>
      <w:r w:rsidR="00FE66E5">
        <w:t xml:space="preserve"> </w:t>
      </w:r>
      <w:r>
        <w:t xml:space="preserve">In the event of multiple appeals, the three members appointed respectively by the </w:t>
      </w:r>
      <w:r w:rsidR="00D02082">
        <w:t xml:space="preserve">University </w:t>
      </w:r>
      <w:r w:rsidRPr="00D02082">
        <w:t>Faculty Affairs Committee,</w:t>
      </w:r>
      <w:r>
        <w:t xml:space="preserve"> the Dean, and the </w:t>
      </w:r>
      <w:proofErr w:type="gramStart"/>
      <w:r>
        <w:t>Provost</w:t>
      </w:r>
      <w:proofErr w:type="gramEnd"/>
      <w:r>
        <w:t xml:space="preserve"> shall serve on each appeal committee; the member selected by the appellant shall serve only on the committee reviewing the appeal of their selector. The TAAC</w:t>
      </w:r>
      <w:r w:rsidR="000669EE">
        <w:t xml:space="preserve"> or PAAC</w:t>
      </w:r>
      <w:r>
        <w:t xml:space="preserve">, with access to all information about the candidate and the </w:t>
      </w:r>
      <w:r w:rsidR="00CA7285">
        <w:t xml:space="preserve">promotion and/or </w:t>
      </w:r>
      <w:r w:rsidRPr="00CA7285">
        <w:t>tenure</w:t>
      </w:r>
      <w:r>
        <w:t xml:space="preserve"> criteria available to the original P&amp;T Committee as well as the original Committee’s recommendation and the candidate’s letter of appeal, shall reconsider the recommendations of the original committee. The TAAC </w:t>
      </w:r>
      <w:r w:rsidR="000669EE">
        <w:t xml:space="preserve">or PAAC </w:t>
      </w:r>
      <w:r>
        <w:t xml:space="preserve">shall make its recommendation in writing to the Dean within four working weeks. The Dean shall inform the appellant of the TAAC’s </w:t>
      </w:r>
      <w:r w:rsidR="000669EE">
        <w:t xml:space="preserve">or PAAC’s </w:t>
      </w:r>
      <w:r>
        <w:t>recommendation within two working days.</w:t>
      </w:r>
    </w:p>
    <w:p w14:paraId="108D58F6" w14:textId="0D6FE824" w:rsidR="00E23D52" w:rsidRDefault="00E23D52" w:rsidP="00EC1C77">
      <w:pPr>
        <w:pStyle w:val="Heading2"/>
        <w:numPr>
          <w:ilvl w:val="1"/>
          <w:numId w:val="1"/>
        </w:numPr>
      </w:pPr>
      <w:r>
        <w:lastRenderedPageBreak/>
        <w:t>Review by the Dean</w:t>
      </w:r>
    </w:p>
    <w:p w14:paraId="3B1B0DBD" w14:textId="38BDD165" w:rsidR="003216D6" w:rsidRDefault="00E23D52" w:rsidP="008B6A26">
      <w:pPr>
        <w:pStyle w:val="ListParagraph"/>
        <w:ind w:left="740"/>
      </w:pPr>
      <w:r>
        <w:t>The Dean shall review all information and recommendations contained in each candidate’s tenure credentials file, shall formulate and state in writing their recommendations with reasons, and shall forward these and the tenure</w:t>
      </w:r>
      <w:r w:rsidR="000669EE">
        <w:t xml:space="preserve"> and/or promotion</w:t>
      </w:r>
      <w:r>
        <w:t xml:space="preserve"> credentials files to the Provost by March 10 (or the next workday thereafter). A copy of the Dean’s written recommendations will be sent to the faculty member, the </w:t>
      </w:r>
      <w:r w:rsidR="000A344D">
        <w:t>credentials file supervisor</w:t>
      </w:r>
      <w:r>
        <w:t>, and the Promotion and Tenure Committee.</w:t>
      </w:r>
    </w:p>
    <w:p w14:paraId="7CCE455B" w14:textId="78BE2A71" w:rsidR="00E23D52" w:rsidRDefault="00E23D52" w:rsidP="00EC1C77">
      <w:pPr>
        <w:pStyle w:val="Heading3"/>
        <w:numPr>
          <w:ilvl w:val="2"/>
          <w:numId w:val="1"/>
        </w:numPr>
      </w:pPr>
      <w:r>
        <w:t>Factors in Consideration</w:t>
      </w:r>
    </w:p>
    <w:p w14:paraId="2A67862E" w14:textId="199AF741" w:rsidR="003216D6" w:rsidRDefault="002908A0" w:rsidP="008B6A26">
      <w:pPr>
        <w:pStyle w:val="ListParagraph"/>
        <w:ind w:left="1080"/>
      </w:pPr>
      <w:r>
        <w:t xml:space="preserve">When considering </w:t>
      </w:r>
      <w:r w:rsidR="00492D75">
        <w:t>tenure and/or promotion</w:t>
      </w:r>
      <w:r>
        <w:t xml:space="preserve"> decisions, the Dean must consider each candidate’s credentials according to criteria expressed in the University </w:t>
      </w:r>
      <w:r w:rsidRPr="3AFE45F3">
        <w:rPr>
          <w:i/>
          <w:iCs/>
        </w:rPr>
        <w:t>Faculty Handbook</w:t>
      </w:r>
      <w:r>
        <w:t>. The Dean must also carefully consider the rank and tenure profiles of the college, projected enrollment patterns, staffing needs, current and projected mission of each college, the specific academic competence of the faculty member, and the preservation of opportunities for the infusion of new talent.</w:t>
      </w:r>
    </w:p>
    <w:p w14:paraId="5166D15E" w14:textId="46287E9C" w:rsidR="002908A0" w:rsidRDefault="002908A0" w:rsidP="00EC1C77">
      <w:pPr>
        <w:pStyle w:val="Heading3"/>
        <w:numPr>
          <w:ilvl w:val="2"/>
          <w:numId w:val="1"/>
        </w:numPr>
      </w:pPr>
      <w:r>
        <w:t>Appeal of Dean’s Decision</w:t>
      </w:r>
    </w:p>
    <w:p w14:paraId="11E65857" w14:textId="7ABC912E" w:rsidR="003216D6" w:rsidRDefault="00F14A36" w:rsidP="008B6A26">
      <w:pPr>
        <w:pStyle w:val="ListParagraph"/>
        <w:ind w:left="1080"/>
      </w:pPr>
      <w:r>
        <w:t xml:space="preserve">When the Dean recommends that </w:t>
      </w:r>
      <w:r w:rsidR="00492D75">
        <w:t>tenure and/or promotion</w:t>
      </w:r>
      <w:r>
        <w:t xml:space="preserve"> be withheld, the recommendation letter from the Dean shall inform the faculty member of their right to appeal the Dean’s recommendation, in writing, within 7 days to the </w:t>
      </w:r>
      <w:proofErr w:type="gramStart"/>
      <w:r>
        <w:t>Provost</w:t>
      </w:r>
      <w:proofErr w:type="gramEnd"/>
      <w:r>
        <w:t xml:space="preserve"> (see </w:t>
      </w:r>
      <w:r w:rsidRPr="00492D75">
        <w:t>§</w:t>
      </w:r>
      <w:r w:rsidR="00492D75" w:rsidRPr="00492D75">
        <w:t xml:space="preserve"> </w:t>
      </w:r>
      <w:r w:rsidRPr="00492D75">
        <w:t>7.12.2</w:t>
      </w:r>
      <w:r>
        <w:t>).</w:t>
      </w:r>
    </w:p>
    <w:p w14:paraId="1CA68EFE" w14:textId="20D2E80A" w:rsidR="00CE7DCF" w:rsidRDefault="00CE7DCF" w:rsidP="00EC1C77">
      <w:pPr>
        <w:pStyle w:val="Heading2"/>
        <w:numPr>
          <w:ilvl w:val="1"/>
          <w:numId w:val="1"/>
        </w:numPr>
      </w:pPr>
      <w:r>
        <w:t>Review by the Provost</w:t>
      </w:r>
    </w:p>
    <w:p w14:paraId="0950A38E" w14:textId="098761D4" w:rsidR="003216D6" w:rsidRDefault="00BD4A75" w:rsidP="008B6A26">
      <w:pPr>
        <w:pStyle w:val="ListParagraph"/>
        <w:ind w:left="740"/>
      </w:pPr>
      <w:r>
        <w:t xml:space="preserve">The </w:t>
      </w:r>
      <w:proofErr w:type="gramStart"/>
      <w:r>
        <w:t>Provost</w:t>
      </w:r>
      <w:proofErr w:type="gramEnd"/>
      <w:r>
        <w:t xml:space="preserve"> shall review the recommendation letter from the promotion and tenure committee along with the recommendation letter from the dean. The </w:t>
      </w:r>
      <w:proofErr w:type="gramStart"/>
      <w:r>
        <w:t>Provost</w:t>
      </w:r>
      <w:proofErr w:type="gramEnd"/>
      <w:r>
        <w:t xml:space="preserve"> shall formulate and state in writing their recommendation and shall submit this letter to the President by </w:t>
      </w:r>
      <w:r w:rsidR="00415A41">
        <w:t>March 24</w:t>
      </w:r>
      <w:r>
        <w:t xml:space="preserve">. A copy of this letter shall be sent to the faculty member, their </w:t>
      </w:r>
      <w:r w:rsidR="001F4180">
        <w:t>credentials file supervisor</w:t>
      </w:r>
      <w:r>
        <w:t xml:space="preserve">, and the dean. When the Provost recommends that </w:t>
      </w:r>
      <w:r w:rsidR="001F4180">
        <w:t>tenure and/or promotion</w:t>
      </w:r>
      <w:r>
        <w:t xml:space="preserve"> be withheld, the recommendation letter from the </w:t>
      </w:r>
      <w:proofErr w:type="gramStart"/>
      <w:r>
        <w:t>Provost</w:t>
      </w:r>
      <w:proofErr w:type="gramEnd"/>
      <w:r>
        <w:t xml:space="preserve"> shall inform the faculty member of their right to appeal the </w:t>
      </w:r>
      <w:proofErr w:type="gramStart"/>
      <w:r>
        <w:t>Provost’s</w:t>
      </w:r>
      <w:proofErr w:type="gramEnd"/>
      <w:r>
        <w:t xml:space="preserve"> recommendation, in writing, within seven days to the President and the Board of Visitors (see §</w:t>
      </w:r>
      <w:r w:rsidR="00687491">
        <w:t xml:space="preserve"> </w:t>
      </w:r>
      <w:r>
        <w:t>7.12.</w:t>
      </w:r>
      <w:r w:rsidR="00687491">
        <w:t>3</w:t>
      </w:r>
      <w:r>
        <w:t>)</w:t>
      </w:r>
      <w:r w:rsidR="00687491">
        <w:t>.</w:t>
      </w:r>
    </w:p>
    <w:p w14:paraId="429779DC" w14:textId="7EEE6A16" w:rsidR="007F43E9" w:rsidRDefault="007F43E9" w:rsidP="00EC1C77">
      <w:pPr>
        <w:pStyle w:val="Heading2"/>
        <w:numPr>
          <w:ilvl w:val="1"/>
          <w:numId w:val="1"/>
        </w:numPr>
      </w:pPr>
      <w:r>
        <w:lastRenderedPageBreak/>
        <w:t>Review by The Board of Visitors</w:t>
      </w:r>
    </w:p>
    <w:p w14:paraId="6B25DE1E" w14:textId="6FE006C8" w:rsidR="00034A9E" w:rsidRDefault="007F43E9" w:rsidP="001F4180">
      <w:pPr>
        <w:pStyle w:val="ListParagraph"/>
        <w:ind w:left="740"/>
      </w:pPr>
      <w:r>
        <w:t xml:space="preserve">The Board of Visitors (or the Executive Committee thereof) in consultation with the President shall, no later than May 15, review all information of record, as well as any written appeals, and shall render a final decision in the matter and so notify each candidate, their </w:t>
      </w:r>
      <w:r w:rsidR="001F4180">
        <w:t>credentials file supervisor</w:t>
      </w:r>
      <w:r>
        <w:t>, the dean, and the Provost in writing. Action by the Board of Visitors (or the Executive Committee thereof) shall be final</w:t>
      </w:r>
      <w:r w:rsidR="00E33D9D">
        <w:t xml:space="preserve"> </w:t>
      </w:r>
      <w:r>
        <w:t>(see §7.12.4)</w:t>
      </w:r>
      <w:r w:rsidR="00E33D9D">
        <w:t>.</w:t>
      </w:r>
    </w:p>
    <w:p w14:paraId="298D5AF9" w14:textId="1DCED608" w:rsidR="00333DE1" w:rsidRDefault="00034A9E" w:rsidP="00333DE1">
      <w:pPr>
        <w:pStyle w:val="Heading1"/>
        <w:numPr>
          <w:ilvl w:val="0"/>
          <w:numId w:val="1"/>
        </w:numPr>
      </w:pPr>
      <w:r>
        <w:t>Contents and Appearance of the Promotion/Tenure Credentials File</w:t>
      </w:r>
    </w:p>
    <w:p w14:paraId="0E780C36" w14:textId="30404CED" w:rsidR="00886283" w:rsidRPr="00886283" w:rsidRDefault="00886283" w:rsidP="00886283">
      <w:r>
        <w:t>The tenure credentials file will cover the candidate’s activities during the probationary period</w:t>
      </w:r>
      <w:r w:rsidR="00D73F1E">
        <w:t>,</w:t>
      </w:r>
      <w:r>
        <w:t xml:space="preserve"> and the promotion credentials file will cover the candidate’s activities since the previous promotion. For faculty without a traditional probationary period who were reviewed for a promotion prior to the tenure application, the tenure credentials file may consist of the candidate’s previous promotion credentials file updated to the date of the submission of the tenure credentials file.</w:t>
      </w:r>
    </w:p>
    <w:p w14:paraId="37B822E7" w14:textId="4784168A" w:rsidR="00D73F1E" w:rsidRDefault="00333DE1" w:rsidP="00EC1C77">
      <w:pPr>
        <w:pStyle w:val="Heading2"/>
        <w:numPr>
          <w:ilvl w:val="1"/>
          <w:numId w:val="1"/>
        </w:numPr>
      </w:pPr>
      <w:r>
        <w:t>Credential File Sections</w:t>
      </w:r>
    </w:p>
    <w:p w14:paraId="59326A67" w14:textId="1EBF9A3C" w:rsidR="00D73F1E" w:rsidRDefault="00D73F1E" w:rsidP="00D73F1E">
      <w:pPr>
        <w:pStyle w:val="ListParagraph"/>
        <w:ind w:left="740"/>
      </w:pPr>
      <w:r>
        <w:t>The credentials file shall be built within a Canvas page template with the following major sections of the file:</w:t>
      </w:r>
    </w:p>
    <w:p w14:paraId="0F7450D9" w14:textId="77777777" w:rsidR="00F52535" w:rsidRDefault="00F52535" w:rsidP="00DA04C7">
      <w:pPr>
        <w:pStyle w:val="ListParagraph"/>
        <w:numPr>
          <w:ilvl w:val="0"/>
          <w:numId w:val="5"/>
        </w:numPr>
      </w:pPr>
      <w:r>
        <w:t>Official Communications in the Tenure Process</w:t>
      </w:r>
    </w:p>
    <w:p w14:paraId="5744A340" w14:textId="77777777" w:rsidR="00F52535" w:rsidRDefault="00F52535" w:rsidP="00DA04C7">
      <w:pPr>
        <w:pStyle w:val="ListParagraph"/>
        <w:numPr>
          <w:ilvl w:val="0"/>
          <w:numId w:val="5"/>
        </w:numPr>
      </w:pPr>
      <w:r>
        <w:t>Faculty Data Sheet and Appointment/Promotion Letters</w:t>
      </w:r>
    </w:p>
    <w:p w14:paraId="29D52D9F" w14:textId="77777777" w:rsidR="00F52535" w:rsidRDefault="00F52535" w:rsidP="00DA04C7">
      <w:pPr>
        <w:pStyle w:val="ListParagraph"/>
        <w:numPr>
          <w:ilvl w:val="0"/>
          <w:numId w:val="5"/>
        </w:numPr>
      </w:pPr>
      <w:r>
        <w:t>Faculty Annual Activity Reports</w:t>
      </w:r>
    </w:p>
    <w:p w14:paraId="051B8806" w14:textId="77777777" w:rsidR="00F52535" w:rsidRDefault="00F52535" w:rsidP="00DA04C7">
      <w:pPr>
        <w:pStyle w:val="ListParagraph"/>
        <w:numPr>
          <w:ilvl w:val="0"/>
          <w:numId w:val="5"/>
        </w:numPr>
      </w:pPr>
      <w:r>
        <w:t>Annual Performance Reviews</w:t>
      </w:r>
    </w:p>
    <w:p w14:paraId="07B1C23C" w14:textId="77777777" w:rsidR="00F52535" w:rsidRPr="00822F7A" w:rsidRDefault="00F52535" w:rsidP="00DA04C7">
      <w:pPr>
        <w:pStyle w:val="ListParagraph"/>
        <w:numPr>
          <w:ilvl w:val="0"/>
          <w:numId w:val="5"/>
        </w:numPr>
      </w:pPr>
      <w:r w:rsidRPr="00822F7A">
        <w:t>Curriculum Vitae</w:t>
      </w:r>
    </w:p>
    <w:p w14:paraId="4D368050" w14:textId="77777777" w:rsidR="00F52535" w:rsidRDefault="00F52535" w:rsidP="00DA04C7">
      <w:pPr>
        <w:pStyle w:val="ListParagraph"/>
        <w:numPr>
          <w:ilvl w:val="0"/>
          <w:numId w:val="5"/>
        </w:numPr>
      </w:pPr>
      <w:r>
        <w:t>Letters of Recommendation</w:t>
      </w:r>
    </w:p>
    <w:p w14:paraId="22D64A76" w14:textId="77777777" w:rsidR="00F52535" w:rsidRDefault="00F52535" w:rsidP="00DA04C7">
      <w:pPr>
        <w:pStyle w:val="ListParagraph"/>
        <w:numPr>
          <w:ilvl w:val="0"/>
          <w:numId w:val="5"/>
        </w:numPr>
      </w:pPr>
      <w:r>
        <w:t>Rationale Statement</w:t>
      </w:r>
    </w:p>
    <w:p w14:paraId="2A5356E9" w14:textId="77777777" w:rsidR="00F52535" w:rsidRDefault="00F52535" w:rsidP="00DA04C7">
      <w:pPr>
        <w:pStyle w:val="ListParagraph"/>
        <w:numPr>
          <w:ilvl w:val="0"/>
          <w:numId w:val="5"/>
        </w:numPr>
      </w:pPr>
      <w:r>
        <w:t>Evidence in Support of Teaching Criteria</w:t>
      </w:r>
    </w:p>
    <w:p w14:paraId="46FF28C7" w14:textId="77777777" w:rsidR="00F52535" w:rsidRDefault="00F52535" w:rsidP="00DA04C7">
      <w:pPr>
        <w:pStyle w:val="ListParagraph"/>
        <w:numPr>
          <w:ilvl w:val="0"/>
          <w:numId w:val="5"/>
        </w:numPr>
      </w:pPr>
      <w:r>
        <w:t xml:space="preserve">Evidence in Support of Scholarship and Professional Development Criteria </w:t>
      </w:r>
    </w:p>
    <w:p w14:paraId="793BEB5E" w14:textId="4CED7519" w:rsidR="003216D6" w:rsidRDefault="00F52535" w:rsidP="00DA04C7">
      <w:pPr>
        <w:pStyle w:val="ListParagraph"/>
        <w:numPr>
          <w:ilvl w:val="0"/>
          <w:numId w:val="5"/>
        </w:numPr>
      </w:pPr>
      <w:r>
        <w:t>Evidence in Support of Service Criteria</w:t>
      </w:r>
    </w:p>
    <w:p w14:paraId="454693AB" w14:textId="5A68AF7C" w:rsidR="00A40332" w:rsidRDefault="00574947" w:rsidP="00EC1C77">
      <w:pPr>
        <w:pStyle w:val="Heading2"/>
        <w:numPr>
          <w:ilvl w:val="1"/>
          <w:numId w:val="1"/>
        </w:numPr>
      </w:pPr>
      <w:r>
        <w:t xml:space="preserve">Official </w:t>
      </w:r>
      <w:r w:rsidR="00A40332">
        <w:t>Communications in the Tenure or Promotion Process</w:t>
      </w:r>
    </w:p>
    <w:p w14:paraId="543AE579" w14:textId="4173B440" w:rsidR="003216D6" w:rsidRDefault="00A40332" w:rsidP="008B6A26">
      <w:pPr>
        <w:pStyle w:val="ListParagraph"/>
        <w:ind w:left="740"/>
      </w:pPr>
      <w:r>
        <w:t>The file shall include all communications and documents developed as part of the process arranged in reverse chronological order. The candidate’s letter to the</w:t>
      </w:r>
      <w:r w:rsidR="00427530">
        <w:t xml:space="preserve"> Dean</w:t>
      </w:r>
      <w:r>
        <w:t xml:space="preserve"> requesting to be reviewed for tenure (see </w:t>
      </w:r>
      <w:r w:rsidR="008D28D4">
        <w:t>S</w:t>
      </w:r>
      <w:r>
        <w:t xml:space="preserve">ection </w:t>
      </w:r>
      <w:r w:rsidR="008D28D4" w:rsidRPr="008D28D4">
        <w:t>3</w:t>
      </w:r>
      <w:r w:rsidRPr="008D28D4">
        <w:t>.1</w:t>
      </w:r>
      <w:r>
        <w:t xml:space="preserve"> above) should be no longer </w:t>
      </w:r>
      <w:r>
        <w:lastRenderedPageBreak/>
        <w:t xml:space="preserve">than one paragraph, describing the eligibility criteria that have been met (e.g., the completion of degree requirements). The </w:t>
      </w:r>
      <w:r w:rsidR="009D429E">
        <w:t>Dean</w:t>
      </w:r>
      <w:r>
        <w:t>’s response to this letter of request shall also be included.</w:t>
      </w:r>
    </w:p>
    <w:p w14:paraId="32E7D0F2" w14:textId="60AE80AA" w:rsidR="00A40332" w:rsidRDefault="00A40332" w:rsidP="00BF7D96">
      <w:pPr>
        <w:pStyle w:val="Heading2"/>
        <w:numPr>
          <w:ilvl w:val="1"/>
          <w:numId w:val="1"/>
        </w:numPr>
      </w:pPr>
      <w:r>
        <w:t>Faculty Data Sheet and Appointment/Promotion Letters</w:t>
      </w:r>
    </w:p>
    <w:p w14:paraId="0A6A1857" w14:textId="32CA4957" w:rsidR="003216D6" w:rsidRDefault="00A40332" w:rsidP="008B6A26">
      <w:pPr>
        <w:pStyle w:val="ListParagraph"/>
        <w:ind w:left="740"/>
      </w:pPr>
      <w:r>
        <w:t xml:space="preserve">The faculty data sheet provides information contained in the candidate’s state personnel file (see University </w:t>
      </w:r>
      <w:r w:rsidRPr="001801E0">
        <w:rPr>
          <w:i/>
          <w:iCs/>
        </w:rPr>
        <w:t>Faculty Handbook</w:t>
      </w:r>
      <w:r>
        <w:t xml:space="preserve">, </w:t>
      </w:r>
      <w:r w:rsidRPr="00463D39">
        <w:t>§</w:t>
      </w:r>
      <w:r w:rsidR="00463D39">
        <w:t xml:space="preserve"> </w:t>
      </w:r>
      <w:r w:rsidRPr="00463D39">
        <w:t>3.13.</w:t>
      </w:r>
      <w:r w:rsidR="00463D39">
        <w:t>2.1</w:t>
      </w:r>
      <w:r>
        <w:t>) concerning the individual’s degrees and dates received, terms of service, promotion record, and other personnel data as deemed appropriate. This faculty data sheet must be reviewed and countersigned by the candidate before it is inserted in the candidate’s tenure credentials file. The faculty data sheet should be accompanied by the candidate’s appointment letters during the probationary period and by the promotion letters, if any, received by the candidate; these letters should be arranged in reverse chronological order.</w:t>
      </w:r>
    </w:p>
    <w:p w14:paraId="1C6012F7" w14:textId="2A3CC313" w:rsidR="007879D1" w:rsidRDefault="007879D1" w:rsidP="00BF7D96">
      <w:pPr>
        <w:pStyle w:val="Heading2"/>
        <w:numPr>
          <w:ilvl w:val="1"/>
          <w:numId w:val="1"/>
        </w:numPr>
      </w:pPr>
      <w:r>
        <w:t>Faculty Annual Activity Reports (FAARs)</w:t>
      </w:r>
    </w:p>
    <w:p w14:paraId="2FC9E94D" w14:textId="0D92B0AF" w:rsidR="003216D6" w:rsidRDefault="007879D1" w:rsidP="008B6A26">
      <w:pPr>
        <w:pStyle w:val="ListParagraph"/>
        <w:ind w:left="740"/>
      </w:pPr>
      <w:r>
        <w:t>Copies of these reports for each of the preceding years of the probationary period</w:t>
      </w:r>
      <w:r w:rsidR="00EB324B">
        <w:t>,</w:t>
      </w:r>
      <w:r>
        <w:t xml:space="preserve"> or the equivalent amount (at least 5 years)</w:t>
      </w:r>
      <w:r w:rsidR="00EB324B">
        <w:t>,</w:t>
      </w:r>
      <w:r>
        <w:t xml:space="preserve"> should be included in reverse chronological order. Be sure these are signed.</w:t>
      </w:r>
    </w:p>
    <w:p w14:paraId="601264A3" w14:textId="04CFAC60" w:rsidR="007879D1" w:rsidRDefault="007879D1" w:rsidP="00BF7D96">
      <w:pPr>
        <w:pStyle w:val="Heading2"/>
        <w:numPr>
          <w:ilvl w:val="1"/>
          <w:numId w:val="1"/>
        </w:numPr>
      </w:pPr>
      <w:r>
        <w:t>Annual Performance Reviews (APRs)</w:t>
      </w:r>
    </w:p>
    <w:p w14:paraId="7C8F4487" w14:textId="05153B09" w:rsidR="003216D6" w:rsidRDefault="007879D1" w:rsidP="008B6A26">
      <w:pPr>
        <w:pStyle w:val="ListParagraph"/>
        <w:ind w:left="740"/>
      </w:pPr>
      <w:r>
        <w:t>Include these for each of the preceding years of the probationary period, or the equivalent amount (at least 5 years)</w:t>
      </w:r>
      <w:r w:rsidR="00EB324B">
        <w:t>,</w:t>
      </w:r>
      <w:r>
        <w:t xml:space="preserve"> in reverse chronological order. Be sure these are signed. If any are missing or late, make sure that the </w:t>
      </w:r>
      <w:r w:rsidR="009D429E">
        <w:t>credentials file supervisor</w:t>
      </w:r>
      <w:r>
        <w:t xml:space="preserve"> addresses this in their letter.</w:t>
      </w:r>
    </w:p>
    <w:p w14:paraId="211CFA98" w14:textId="1E46119C" w:rsidR="007879D1" w:rsidRDefault="007879D1" w:rsidP="00BF7D96">
      <w:pPr>
        <w:pStyle w:val="Heading2"/>
        <w:numPr>
          <w:ilvl w:val="1"/>
          <w:numId w:val="1"/>
        </w:numPr>
      </w:pPr>
      <w:r>
        <w:t>Curriculum Vita</w:t>
      </w:r>
      <w:r w:rsidR="009514EE">
        <w:t>e</w:t>
      </w:r>
    </w:p>
    <w:p w14:paraId="003FB9BB" w14:textId="0F488726" w:rsidR="005D12D9" w:rsidRDefault="007879D1" w:rsidP="007879D1">
      <w:pPr>
        <w:pStyle w:val="ListParagraph"/>
        <w:ind w:left="740"/>
      </w:pPr>
      <w:r>
        <w:t xml:space="preserve">The </w:t>
      </w:r>
      <w:r w:rsidR="005D12D9">
        <w:t>candidate’s curriculum vita</w:t>
      </w:r>
      <w:r w:rsidR="009514EE">
        <w:t>e</w:t>
      </w:r>
      <w:r w:rsidR="005D12D9">
        <w:t xml:space="preserve"> (CV) provides a detailed account of their career(s) and accomplishments. </w:t>
      </w:r>
      <w:proofErr w:type="gramStart"/>
      <w:r w:rsidR="005D12D9">
        <w:t>In order to</w:t>
      </w:r>
      <w:proofErr w:type="gramEnd"/>
      <w:r w:rsidR="005D12D9">
        <w:t xml:space="preserve"> provide uniformity, the CV should be organized in the following order, with individual items under each category presented with the most recent first: </w:t>
      </w:r>
    </w:p>
    <w:p w14:paraId="2C4CD391" w14:textId="77777777" w:rsidR="005D12D9" w:rsidRDefault="005D12D9" w:rsidP="00DA04C7">
      <w:pPr>
        <w:pStyle w:val="ListParagraph"/>
        <w:numPr>
          <w:ilvl w:val="0"/>
          <w:numId w:val="6"/>
        </w:numPr>
      </w:pPr>
      <w:r>
        <w:t xml:space="preserve">Professional Experience listed by year(s), academic rank, and institution </w:t>
      </w:r>
    </w:p>
    <w:p w14:paraId="024C7323" w14:textId="77777777" w:rsidR="005D12D9" w:rsidRDefault="005D12D9" w:rsidP="00DA04C7">
      <w:pPr>
        <w:pStyle w:val="ListParagraph"/>
        <w:numPr>
          <w:ilvl w:val="0"/>
          <w:numId w:val="6"/>
        </w:numPr>
      </w:pPr>
      <w:r>
        <w:t>Education listed by year(s), degree, field, granting institution; include dissertation title</w:t>
      </w:r>
    </w:p>
    <w:p w14:paraId="3311E866" w14:textId="77777777" w:rsidR="005D12D9" w:rsidRDefault="005D12D9" w:rsidP="00DA04C7">
      <w:pPr>
        <w:pStyle w:val="ListParagraph"/>
        <w:numPr>
          <w:ilvl w:val="0"/>
          <w:numId w:val="6"/>
        </w:numPr>
      </w:pPr>
      <w:r>
        <w:t xml:space="preserve">Honors, Grants, and Awards </w:t>
      </w:r>
    </w:p>
    <w:p w14:paraId="6D4A4563" w14:textId="77777777" w:rsidR="005D12D9" w:rsidRDefault="005D12D9" w:rsidP="00DA04C7">
      <w:pPr>
        <w:pStyle w:val="ListParagraph"/>
        <w:numPr>
          <w:ilvl w:val="0"/>
          <w:numId w:val="6"/>
        </w:numPr>
      </w:pPr>
      <w:r>
        <w:t xml:space="preserve">Publications with full bibliographic information and with reviews, editions, or collaborative work so indicated </w:t>
      </w:r>
    </w:p>
    <w:p w14:paraId="498E20ED" w14:textId="77777777" w:rsidR="005D12D9" w:rsidRDefault="005D12D9" w:rsidP="00DA04C7">
      <w:pPr>
        <w:pStyle w:val="ListParagraph"/>
        <w:numPr>
          <w:ilvl w:val="0"/>
          <w:numId w:val="6"/>
        </w:numPr>
      </w:pPr>
      <w:r>
        <w:lastRenderedPageBreak/>
        <w:t xml:space="preserve">Publications in Progress </w:t>
      </w:r>
    </w:p>
    <w:p w14:paraId="6DFF1F71" w14:textId="77777777" w:rsidR="005D12D9" w:rsidRDefault="005D12D9" w:rsidP="00DA04C7">
      <w:pPr>
        <w:pStyle w:val="ListParagraph"/>
        <w:numPr>
          <w:ilvl w:val="0"/>
          <w:numId w:val="6"/>
        </w:numPr>
      </w:pPr>
      <w:r>
        <w:t xml:space="preserve">Scholarly and Professional Presentations with title of presentation, identification of conference or audience, place, date </w:t>
      </w:r>
    </w:p>
    <w:p w14:paraId="582CEA9F" w14:textId="77777777" w:rsidR="005D12D9" w:rsidRDefault="005D12D9" w:rsidP="00DA04C7">
      <w:pPr>
        <w:pStyle w:val="ListParagraph"/>
        <w:numPr>
          <w:ilvl w:val="0"/>
          <w:numId w:val="6"/>
        </w:numPr>
      </w:pPr>
      <w:r>
        <w:t xml:space="preserve">Professional Memberships with offices held and dates </w:t>
      </w:r>
    </w:p>
    <w:p w14:paraId="6EBF662D" w14:textId="77777777" w:rsidR="005D12D9" w:rsidRDefault="005D12D9" w:rsidP="00DA04C7">
      <w:pPr>
        <w:pStyle w:val="ListParagraph"/>
        <w:numPr>
          <w:ilvl w:val="0"/>
          <w:numId w:val="6"/>
        </w:numPr>
      </w:pPr>
      <w:r>
        <w:t xml:space="preserve">Subjects Taught </w:t>
      </w:r>
    </w:p>
    <w:p w14:paraId="2C46662A" w14:textId="77777777" w:rsidR="005D12D9" w:rsidRDefault="005D12D9" w:rsidP="00DA04C7">
      <w:pPr>
        <w:pStyle w:val="ListParagraph"/>
        <w:numPr>
          <w:ilvl w:val="0"/>
          <w:numId w:val="6"/>
        </w:numPr>
      </w:pPr>
      <w:r>
        <w:t xml:space="preserve">Committee Service </w:t>
      </w:r>
    </w:p>
    <w:p w14:paraId="52D644A3" w14:textId="77777777" w:rsidR="005D12D9" w:rsidRDefault="005D12D9" w:rsidP="00DA04C7">
      <w:pPr>
        <w:pStyle w:val="ListParagraph"/>
        <w:numPr>
          <w:ilvl w:val="0"/>
          <w:numId w:val="6"/>
        </w:numPr>
      </w:pPr>
      <w:r>
        <w:t xml:space="preserve">Community Service </w:t>
      </w:r>
    </w:p>
    <w:p w14:paraId="6DEF149A" w14:textId="77777777" w:rsidR="005D12D9" w:rsidRDefault="005D12D9" w:rsidP="00DA04C7">
      <w:pPr>
        <w:pStyle w:val="ListParagraph"/>
        <w:numPr>
          <w:ilvl w:val="0"/>
          <w:numId w:val="6"/>
        </w:numPr>
      </w:pPr>
      <w:r>
        <w:t xml:space="preserve">(Additional categories may be added here) </w:t>
      </w:r>
    </w:p>
    <w:p w14:paraId="328416AB" w14:textId="5ECE75F5" w:rsidR="003216D6" w:rsidRDefault="005D12D9" w:rsidP="00DA04C7">
      <w:pPr>
        <w:pStyle w:val="ListParagraph"/>
        <w:numPr>
          <w:ilvl w:val="0"/>
          <w:numId w:val="6"/>
        </w:numPr>
      </w:pPr>
      <w:r>
        <w:t>References (usually “Available on request”).</w:t>
      </w:r>
    </w:p>
    <w:p w14:paraId="0FA666BB" w14:textId="0F8D8391" w:rsidR="005D12D9" w:rsidRDefault="005D12D9" w:rsidP="00BF7D96">
      <w:pPr>
        <w:pStyle w:val="Heading2"/>
        <w:numPr>
          <w:ilvl w:val="1"/>
          <w:numId w:val="1"/>
        </w:numPr>
      </w:pPr>
      <w:r>
        <w:t>Letters of Recommendation</w:t>
      </w:r>
    </w:p>
    <w:p w14:paraId="46400819" w14:textId="24301720" w:rsidR="003216D6" w:rsidRDefault="005D12D9" w:rsidP="008B6A26">
      <w:pPr>
        <w:pStyle w:val="ListParagraph"/>
        <w:ind w:left="740"/>
      </w:pPr>
      <w:r>
        <w:t xml:space="preserve">Section </w:t>
      </w:r>
      <w:r w:rsidR="00FA6799" w:rsidRPr="00FA6799">
        <w:t>3.</w:t>
      </w:r>
      <w:r w:rsidRPr="00FA6799">
        <w:t>2</w:t>
      </w:r>
      <w:r>
        <w:t xml:space="preserve"> </w:t>
      </w:r>
      <w:r w:rsidR="00FA6799">
        <w:t xml:space="preserve">above </w:t>
      </w:r>
      <w:r>
        <w:t xml:space="preserve">provides requirements for the sources of the letters. The letters should come from diverse sources who can address different areas covered by the criteria for tenure. The letters should clearly substantiate specific claims in the candidate’s rationale (below). The </w:t>
      </w:r>
      <w:r w:rsidR="009D429E">
        <w:t>credentials file supervisor</w:t>
      </w:r>
      <w:r>
        <w:t xml:space="preserve">’s recommendation shall be included in this section (see </w:t>
      </w:r>
      <w:r w:rsidR="00FA6799">
        <w:t>S</w:t>
      </w:r>
      <w:r>
        <w:t xml:space="preserve">ection </w:t>
      </w:r>
      <w:r w:rsidR="00FA6799" w:rsidRPr="00FA6799">
        <w:t>3.</w:t>
      </w:r>
      <w:r w:rsidRPr="00FA6799">
        <w:t>3</w:t>
      </w:r>
      <w:r w:rsidR="00FA6799">
        <w:t xml:space="preserve"> above</w:t>
      </w:r>
      <w:r>
        <w:t>).</w:t>
      </w:r>
    </w:p>
    <w:p w14:paraId="4636C1B0" w14:textId="02E68C98" w:rsidR="005D12D9" w:rsidRDefault="005D12D9" w:rsidP="00BF7D96">
      <w:pPr>
        <w:pStyle w:val="Heading2"/>
        <w:numPr>
          <w:ilvl w:val="1"/>
          <w:numId w:val="1"/>
        </w:numPr>
      </w:pPr>
      <w:r>
        <w:t>Rationale Statement</w:t>
      </w:r>
    </w:p>
    <w:p w14:paraId="4F207672" w14:textId="7211D53C" w:rsidR="003216D6" w:rsidRDefault="005D12D9" w:rsidP="008B6A26">
      <w:pPr>
        <w:pStyle w:val="ListParagraph"/>
        <w:ind w:left="740"/>
      </w:pPr>
      <w:r>
        <w:t xml:space="preserve">The candidate should explain as clearly, objectively, and concisely as possible (in no more than ten pages) how they meet the </w:t>
      </w:r>
      <w:r w:rsidR="00BC33AE">
        <w:t>universal</w:t>
      </w:r>
      <w:r>
        <w:t xml:space="preserve"> criteria</w:t>
      </w:r>
      <w:r w:rsidR="004B594B">
        <w:t xml:space="preserve"> </w:t>
      </w:r>
      <w:r w:rsidR="002C3CBA">
        <w:t xml:space="preserve">for promotion and tenure in </w:t>
      </w:r>
      <w:r w:rsidR="004B594B">
        <w:t xml:space="preserve">Section 7 of the University </w:t>
      </w:r>
      <w:r w:rsidR="004B594B">
        <w:rPr>
          <w:i/>
          <w:iCs/>
        </w:rPr>
        <w:t>Faculty Handbook</w:t>
      </w:r>
      <w:r w:rsidR="00457662">
        <w:rPr>
          <w:i/>
          <w:iCs/>
        </w:rPr>
        <w:t xml:space="preserve"> </w:t>
      </w:r>
      <w:r w:rsidR="00457662">
        <w:t>(</w:t>
      </w:r>
      <w:r w:rsidR="004B594B">
        <w:t xml:space="preserve">contextualized by the Departmental Guidelines document available on the </w:t>
      </w:r>
      <w:proofErr w:type="gramStart"/>
      <w:r w:rsidR="004B594B">
        <w:t>Provost’s</w:t>
      </w:r>
      <w:proofErr w:type="gramEnd"/>
      <w:r w:rsidR="004B594B">
        <w:t xml:space="preserve"> website</w:t>
      </w:r>
      <w:r w:rsidR="00457662">
        <w:t>)</w:t>
      </w:r>
      <w:r>
        <w:t xml:space="preserve"> based on activities during the period under review. Discussion of performance in the areas of teaching, scholarship and professional development, and service to the University and profession should include references to specific </w:t>
      </w:r>
      <w:r w:rsidR="008C42EC">
        <w:t xml:space="preserve">evidence </w:t>
      </w:r>
      <w:r>
        <w:t>documents</w:t>
      </w:r>
      <w:r w:rsidR="008C42EC">
        <w:t>, as explained in more depth below.</w:t>
      </w:r>
    </w:p>
    <w:p w14:paraId="7384093A" w14:textId="5393577C" w:rsidR="007C52FD" w:rsidRDefault="007C52FD" w:rsidP="00BF7D96">
      <w:pPr>
        <w:pStyle w:val="Heading2"/>
        <w:numPr>
          <w:ilvl w:val="1"/>
          <w:numId w:val="1"/>
        </w:numPr>
      </w:pPr>
      <w:r>
        <w:t>Evidence in Support of Teaching Criteria</w:t>
      </w:r>
    </w:p>
    <w:p w14:paraId="09839759" w14:textId="58695DC8" w:rsidR="003216D6" w:rsidRDefault="007C52FD" w:rsidP="00891098">
      <w:pPr>
        <w:pStyle w:val="ListParagraph"/>
        <w:ind w:left="740"/>
      </w:pPr>
      <w:r>
        <w:t xml:space="preserve">Include a summary of student course evaluations during the probationary period. The summary should be in the form of a numeric table with descriptive explanation as needed. </w:t>
      </w:r>
      <w:r w:rsidR="00A91483">
        <w:t xml:space="preserve">For each course taught during the evaluation period, </w:t>
      </w:r>
      <w:r w:rsidR="00115318">
        <w:t>include representative syllabi</w:t>
      </w:r>
      <w:r w:rsidR="000A3826">
        <w:t xml:space="preserve"> and all student evaluation documents. </w:t>
      </w:r>
      <w:r w:rsidR="001D5E60">
        <w:t xml:space="preserve">Include </w:t>
      </w:r>
      <w:r w:rsidR="00501A4F">
        <w:t xml:space="preserve">additional </w:t>
      </w:r>
      <w:r w:rsidR="00C24789">
        <w:t xml:space="preserve">evidence </w:t>
      </w:r>
      <w:r w:rsidR="00501A4F">
        <w:t xml:space="preserve">in </w:t>
      </w:r>
      <w:r w:rsidR="008D130B">
        <w:t>support</w:t>
      </w:r>
      <w:r w:rsidR="00501A4F">
        <w:t xml:space="preserve"> of</w:t>
      </w:r>
      <w:r w:rsidR="008D130B">
        <w:t xml:space="preserve"> </w:t>
      </w:r>
      <w:r w:rsidR="00AB195A">
        <w:t>teaching criteria</w:t>
      </w:r>
      <w:r w:rsidR="00380953">
        <w:t xml:space="preserve">, such as </w:t>
      </w:r>
      <w:r>
        <w:t xml:space="preserve">peer observation reports (if any), teaching awards, representative curriculum development documents, evidence of student learning, and any involvement in programs focused on improving your teaching that are not included in the Scholarship and Professional Development category. Select examples which, with explanatory </w:t>
      </w:r>
      <w:proofErr w:type="gramStart"/>
      <w:r>
        <w:t>annotations</w:t>
      </w:r>
      <w:proofErr w:type="gramEnd"/>
      <w:r>
        <w:t xml:space="preserve"> if necessary, will </w:t>
      </w:r>
      <w:r>
        <w:lastRenderedPageBreak/>
        <w:t>help the committee understand what you are trying to accomplish in the classroom and how you go about it. Point out evidence related to meeting professional standards as appropriate. Demonstrate reflection and improvement of teaching over time. Provide commentary on student advising load and effectiveness.</w:t>
      </w:r>
      <w:r w:rsidR="00A708A6">
        <w:t xml:space="preserve"> If you include student comments, provide a clear interpretation of them. The inclusion of selected favorable student comments is unpersuasive. </w:t>
      </w:r>
    </w:p>
    <w:p w14:paraId="2185EF05" w14:textId="1E283430" w:rsidR="009408CF" w:rsidRDefault="009408CF" w:rsidP="00BF7D96">
      <w:pPr>
        <w:pStyle w:val="Heading2"/>
        <w:numPr>
          <w:ilvl w:val="1"/>
          <w:numId w:val="1"/>
        </w:numPr>
      </w:pPr>
      <w:r>
        <w:t>Evidence in Support of Scholarship and Professional Development</w:t>
      </w:r>
    </w:p>
    <w:p w14:paraId="1848106F" w14:textId="7F1789C2" w:rsidR="003216D6" w:rsidRDefault="009408CF" w:rsidP="008B6A26">
      <w:pPr>
        <w:pStyle w:val="ListParagraph"/>
        <w:ind w:left="740"/>
      </w:pPr>
      <w:r>
        <w:t>Include material representative of your achievements during the probationary period, with explanatory annotations as needed. It is sufficient to include PDFs of the first page of an article or a table of contents from a book rather than the full text. Describe electronic or digital products clearly, explaining what they do and how you designed them. Do not include books, videos, computer programs, or other digital media. The committee will not click on hyperlinks that navigate to locations beyond the digital tenure file. Instead, take a screenshot of a resource or save a webpage as a PDF to include in the digital tenure file. Brief contextualizing comments may accompany representative materials and documents.</w:t>
      </w:r>
    </w:p>
    <w:p w14:paraId="096BDA3F" w14:textId="0827012D" w:rsidR="009408CF" w:rsidRDefault="009408CF" w:rsidP="00BF7D96">
      <w:pPr>
        <w:pStyle w:val="Heading2"/>
        <w:numPr>
          <w:ilvl w:val="1"/>
          <w:numId w:val="1"/>
        </w:numPr>
      </w:pPr>
      <w:r>
        <w:t>Evidence in Support of Service to the University and Profession</w:t>
      </w:r>
    </w:p>
    <w:p w14:paraId="0753F2EE" w14:textId="03ECA683" w:rsidR="003216D6" w:rsidRDefault="009408CF" w:rsidP="008B6A26">
      <w:pPr>
        <w:pStyle w:val="ListParagraph"/>
        <w:ind w:left="740"/>
      </w:pPr>
      <w:r>
        <w:t>Include material representative of your achievements during the probationary period, with explanatory annotations as needed. Brief contextualizing comments may accompany representative materials and documents.</w:t>
      </w:r>
    </w:p>
    <w:p w14:paraId="656BF2FC" w14:textId="562FA466" w:rsidR="009408CF" w:rsidRDefault="00862827" w:rsidP="00BF7D96">
      <w:pPr>
        <w:pStyle w:val="Heading2"/>
        <w:numPr>
          <w:ilvl w:val="1"/>
          <w:numId w:val="1"/>
        </w:numPr>
      </w:pPr>
      <w:r>
        <w:t>Formatting of the Digital File</w:t>
      </w:r>
    </w:p>
    <w:p w14:paraId="6FB98FA9" w14:textId="254A2ABA" w:rsidR="003216D6" w:rsidRDefault="00862827" w:rsidP="008B6A26">
      <w:pPr>
        <w:pStyle w:val="ListParagraph"/>
        <w:ind w:left="740"/>
      </w:pPr>
      <w:r>
        <w:t>The</w:t>
      </w:r>
      <w:r w:rsidRPr="00862827">
        <w:t xml:space="preserve"> </w:t>
      </w:r>
      <w:r>
        <w:t>committee prefers Times New Roman, font 12, with one-inch margins. All file components should be submitted as Word or PDF files. The evidence sections in support of teaching, scholarship and professional development, and service should be no more than 100 pages of content each. The course evaluations and representative syllabus for each course taught in the teaching evidence section do not count toward this page limit.</w:t>
      </w:r>
    </w:p>
    <w:p w14:paraId="09DD3E7B" w14:textId="76E9DFBA" w:rsidR="00C95091" w:rsidRDefault="00C95091" w:rsidP="00C95091">
      <w:pPr>
        <w:pStyle w:val="Heading1"/>
        <w:numPr>
          <w:ilvl w:val="0"/>
          <w:numId w:val="1"/>
        </w:numPr>
      </w:pPr>
      <w:r>
        <w:lastRenderedPageBreak/>
        <w:t>Expectations for Participants in the Promotion and Tenure Process</w:t>
      </w:r>
    </w:p>
    <w:p w14:paraId="734BFF1E" w14:textId="5E149E9D" w:rsidR="00C95091" w:rsidRDefault="00DA11D2" w:rsidP="00BF7D96">
      <w:pPr>
        <w:pStyle w:val="Heading2"/>
        <w:numPr>
          <w:ilvl w:val="1"/>
          <w:numId w:val="1"/>
        </w:numPr>
      </w:pPr>
      <w:r>
        <w:t>Departmental</w:t>
      </w:r>
      <w:r w:rsidR="00C95091">
        <w:t xml:space="preserve"> Colleagues</w:t>
      </w:r>
    </w:p>
    <w:p w14:paraId="1121C7B2" w14:textId="71AF565B" w:rsidR="003216D6" w:rsidRDefault="008D5E5D" w:rsidP="008B6A26">
      <w:pPr>
        <w:pStyle w:val="ListParagraph"/>
        <w:ind w:left="740"/>
      </w:pPr>
      <w:r>
        <w:t>Departmental</w:t>
      </w:r>
      <w:r w:rsidR="00C95091">
        <w:t xml:space="preserve"> colleagues should explain the candidate’s role in the </w:t>
      </w:r>
      <w:r>
        <w:t>department</w:t>
      </w:r>
      <w:r w:rsidR="00C95091">
        <w:t xml:space="preserve">. In addition, the </w:t>
      </w:r>
      <w:r>
        <w:t>departmental</w:t>
      </w:r>
      <w:r w:rsidR="00C95091">
        <w:t xml:space="preserve"> colleagues’ letters should help to explain the significance of the candidate’s professional activity. Recommendations should be based on specific information.</w:t>
      </w:r>
    </w:p>
    <w:p w14:paraId="795194CA" w14:textId="45B7EC12" w:rsidR="005A1D59" w:rsidRDefault="00DA11D2" w:rsidP="00BF7D96">
      <w:pPr>
        <w:pStyle w:val="Heading2"/>
        <w:numPr>
          <w:ilvl w:val="1"/>
          <w:numId w:val="1"/>
        </w:numPr>
      </w:pPr>
      <w:r>
        <w:t>Credentials File Supervisor</w:t>
      </w:r>
    </w:p>
    <w:p w14:paraId="2F2F9D4F" w14:textId="1653EAC0" w:rsidR="003216D6" w:rsidRDefault="005A1D59" w:rsidP="008B6A26">
      <w:pPr>
        <w:pStyle w:val="ListParagraph"/>
        <w:ind w:left="740"/>
      </w:pPr>
      <w:r>
        <w:t xml:space="preserve">The </w:t>
      </w:r>
      <w:r w:rsidR="00DA11D2">
        <w:t>credentials file supervisor</w:t>
      </w:r>
      <w:r>
        <w:t xml:space="preserve">’s letter should explain the candidate’s role in the </w:t>
      </w:r>
      <w:r w:rsidR="008D5E5D">
        <w:t>department</w:t>
      </w:r>
      <w:r>
        <w:t xml:space="preserve">. The </w:t>
      </w:r>
      <w:r w:rsidR="008D5E5D">
        <w:t>credentials file supervisor</w:t>
      </w:r>
      <w:r>
        <w:t xml:space="preserve"> should take extra care to explain the </w:t>
      </w:r>
      <w:r w:rsidR="008D5E5D">
        <w:t>department</w:t>
      </w:r>
      <w:r>
        <w:t xml:space="preserve">’s style of operation, so that the candidate’s important roles can be more adequately understood. The </w:t>
      </w:r>
      <w:r w:rsidR="008D5E5D">
        <w:t>credentials file supervisor’</w:t>
      </w:r>
      <w:r>
        <w:t xml:space="preserve">s letter should also explain the significance and quality of the candidate’s professional activity. The </w:t>
      </w:r>
      <w:r w:rsidR="008D5E5D">
        <w:t>credentials file supervisor</w:t>
      </w:r>
      <w:r>
        <w:t xml:space="preserve">’s letter should then give an honest summative evaluation of the candidate’s work in all three areas. The committee asks for the </w:t>
      </w:r>
      <w:r w:rsidR="008D5E5D">
        <w:t>credentials file supervisor</w:t>
      </w:r>
      <w:r>
        <w:t xml:space="preserve">’s best, most careful judgment of the candidate’s work over an extended time. That judgment should be based on specific information reported in the letter and (usually) reflected in the series of APRs that the file contains. Finally, the </w:t>
      </w:r>
      <w:r w:rsidR="008D5E5D">
        <w:t>credentials file supervisor</w:t>
      </w:r>
      <w:r>
        <w:t xml:space="preserve"> shall have verified the accuracy of all substantive claims in the candidate’s </w:t>
      </w:r>
      <w:r w:rsidRPr="00FA6799">
        <w:t>curriculum vita</w:t>
      </w:r>
      <w:r w:rsidR="009514EE">
        <w:t>e</w:t>
      </w:r>
      <w:r>
        <w:t>.</w:t>
      </w:r>
    </w:p>
    <w:p w14:paraId="4BD54366" w14:textId="1FD3356C" w:rsidR="005A1D59" w:rsidRDefault="005A1D59" w:rsidP="00BF7D96">
      <w:pPr>
        <w:pStyle w:val="Heading2"/>
        <w:numPr>
          <w:ilvl w:val="1"/>
          <w:numId w:val="1"/>
        </w:numPr>
      </w:pPr>
      <w:r>
        <w:t>Institutional Colleagues</w:t>
      </w:r>
    </w:p>
    <w:p w14:paraId="71B5E9A0" w14:textId="18278FD6" w:rsidR="003216D6" w:rsidRDefault="005A1D59" w:rsidP="008B6A26">
      <w:pPr>
        <w:pStyle w:val="ListParagraph"/>
        <w:ind w:left="740"/>
      </w:pPr>
      <w:r>
        <w:t>Institutional colleagues should explain the specific contexts in which they have worked with the candidate and evaluate their performance in those areas. Recommendations should be based on specific information that is reported in the letter.</w:t>
      </w:r>
    </w:p>
    <w:p w14:paraId="0528B816" w14:textId="1E6A6E97" w:rsidR="003B74CB" w:rsidRDefault="005A1D59" w:rsidP="00BF7D96">
      <w:pPr>
        <w:pStyle w:val="Heading2"/>
        <w:numPr>
          <w:ilvl w:val="1"/>
          <w:numId w:val="1"/>
        </w:numPr>
      </w:pPr>
      <w:r>
        <w:t>C</w:t>
      </w:r>
      <w:r w:rsidR="003B74CB">
        <w:t>olleagues in the Discipline</w:t>
      </w:r>
    </w:p>
    <w:p w14:paraId="5C5E3AA6" w14:textId="23D66370" w:rsidR="003216D6" w:rsidRDefault="003B74CB" w:rsidP="008B6A26">
      <w:pPr>
        <w:pStyle w:val="ListParagraph"/>
        <w:ind w:left="740"/>
      </w:pPr>
      <w:r>
        <w:t>These references address the context in which the candidate’s work has become known and the standing of the candidate’s work within the discipline or the profession.</w:t>
      </w:r>
    </w:p>
    <w:p w14:paraId="1A1F62F3" w14:textId="405CD5E5" w:rsidR="003D0C35" w:rsidRDefault="003B74CB" w:rsidP="00BF7D96">
      <w:pPr>
        <w:pStyle w:val="Heading2"/>
        <w:numPr>
          <w:ilvl w:val="1"/>
          <w:numId w:val="1"/>
        </w:numPr>
      </w:pPr>
      <w:r>
        <w:lastRenderedPageBreak/>
        <w:t>Promotion and Tenure Committee</w:t>
      </w:r>
    </w:p>
    <w:p w14:paraId="7091DDB2" w14:textId="7F61C793" w:rsidR="003216D6" w:rsidRDefault="003B74CB" w:rsidP="008B6A26">
      <w:pPr>
        <w:pStyle w:val="ListParagraph"/>
        <w:ind w:left="740"/>
      </w:pPr>
      <w:r>
        <w:t>The committee’s dut</w:t>
      </w:r>
      <w:r w:rsidR="003A5EF4">
        <w:t>ies</w:t>
      </w:r>
      <w:r w:rsidR="00864225">
        <w:t xml:space="preserve"> are (1)</w:t>
      </w:r>
      <w:r>
        <w:t xml:space="preserve"> </w:t>
      </w:r>
      <w:r w:rsidR="00864225">
        <w:t xml:space="preserve">to </w:t>
      </w:r>
      <w:r w:rsidR="0012544C">
        <w:t>review</w:t>
      </w:r>
      <w:r>
        <w:t xml:space="preserve"> each candidate individually and objectively based on the contents of the candidate’s tenure or promotion credentials file</w:t>
      </w:r>
      <w:r w:rsidR="00864225">
        <w:t>; (2) submit a report to the Dean; and (3) participate in a follow-up meeting, if requested.</w:t>
      </w:r>
    </w:p>
    <w:p w14:paraId="5761F45B" w14:textId="23051833" w:rsidR="00750881" w:rsidRDefault="0012544C" w:rsidP="00D3620D">
      <w:pPr>
        <w:pStyle w:val="Heading3"/>
        <w:numPr>
          <w:ilvl w:val="2"/>
          <w:numId w:val="1"/>
        </w:numPr>
      </w:pPr>
      <w:r>
        <w:t>Review Decisions</w:t>
      </w:r>
    </w:p>
    <w:p w14:paraId="4D4B8B62" w14:textId="67036F0D" w:rsidR="003216D6" w:rsidRDefault="0012544C" w:rsidP="008B6A26">
      <w:pPr>
        <w:pStyle w:val="ListParagraph"/>
        <w:ind w:left="1080"/>
      </w:pPr>
      <w:r>
        <w:t xml:space="preserve">The committee shall review the promotion and tenure files of the faculty members who have met the eligibility criteria and have submitted their files for review. The committee’s recommendation for approval of a candidate for promotion or tenure requires a majority vote of the committee members. Candidates will not be ranked. </w:t>
      </w:r>
      <w:r w:rsidR="003B74CB">
        <w:t xml:space="preserve"> The evaluation of file contents should take into consideration both the quality and the quantity of a candidate’s activities and achievements in each category, taking care to recognize significant variables in the candidate’s duties. In no case is the Committee to grant any credence to anonymous or informal claims about the candidate’s performance. The following guidelines are to be followed in evaluating each section of the file:</w:t>
      </w:r>
    </w:p>
    <w:p w14:paraId="17704EB0" w14:textId="254AF5E1" w:rsidR="00A3534A" w:rsidRDefault="003B74CB" w:rsidP="00D3620D">
      <w:pPr>
        <w:pStyle w:val="Heading4"/>
        <w:numPr>
          <w:ilvl w:val="3"/>
          <w:numId w:val="1"/>
        </w:numPr>
      </w:pPr>
      <w:r>
        <w:t>Official Communications in the Tenure Process</w:t>
      </w:r>
    </w:p>
    <w:p w14:paraId="376BF151" w14:textId="699B4662" w:rsidR="003216D6" w:rsidRDefault="003B74CB" w:rsidP="008B6A26">
      <w:pPr>
        <w:pStyle w:val="ListParagraph"/>
        <w:ind w:left="1440"/>
      </w:pPr>
      <w:r>
        <w:t>These documents verify that the candidate is eligible to seek promotion or tenure. They must be signed. If the documents do not support the candidate’s eligibility, there should be no further evaluation of the credentials file.</w:t>
      </w:r>
    </w:p>
    <w:p w14:paraId="32FA6B8A" w14:textId="752331A5" w:rsidR="00A3534A" w:rsidRDefault="003B74CB" w:rsidP="00D3620D">
      <w:pPr>
        <w:pStyle w:val="Heading4"/>
        <w:numPr>
          <w:ilvl w:val="3"/>
          <w:numId w:val="1"/>
        </w:numPr>
      </w:pPr>
      <w:r>
        <w:t>Faculty Data Sheet and Appointment/Promotion Letters</w:t>
      </w:r>
    </w:p>
    <w:p w14:paraId="29C86282" w14:textId="49A1085D" w:rsidR="003216D6" w:rsidRDefault="003B74CB" w:rsidP="008B6A26">
      <w:pPr>
        <w:pStyle w:val="ListParagraph"/>
        <w:ind w:left="1440"/>
      </w:pPr>
      <w:r>
        <w:t>These documents verify the candidate’s current rank as relevant to the promotion process. In the tenure review process, a candidate’s appointment to or prior promotion to Associate Professor, along with any supporting evidence cited in the promotion letter, may be considered as positive factors in the recommendation to approve tenure. A candidate’s prior promotion to Professor, along with the supporting evidence cited in the promotion letter, shall be considered as positive factors in the recommendation to approve tenure.</w:t>
      </w:r>
    </w:p>
    <w:p w14:paraId="6EEB6156" w14:textId="3E377459" w:rsidR="00A3534A" w:rsidRDefault="002F701C" w:rsidP="00D3620D">
      <w:pPr>
        <w:pStyle w:val="Heading4"/>
        <w:numPr>
          <w:ilvl w:val="3"/>
          <w:numId w:val="1"/>
        </w:numPr>
      </w:pPr>
      <w:r>
        <w:t>Faculty Annual Activity Reports and Annual Performance Reviews</w:t>
      </w:r>
    </w:p>
    <w:p w14:paraId="1F350FB0" w14:textId="13DD340E" w:rsidR="003216D6" w:rsidRDefault="002F701C" w:rsidP="008B6A26">
      <w:pPr>
        <w:pStyle w:val="ListParagraph"/>
        <w:ind w:left="1440"/>
      </w:pPr>
      <w:r>
        <w:t xml:space="preserve">These documents summarize the activities the candidate was evaluated on during the period under review. Criteria for evaluation should be aligned with the criteria for promotion and tenure. For any years represented by these documents in which the criteria for evaluation are not aligned with the </w:t>
      </w:r>
      <w:r>
        <w:lastRenderedPageBreak/>
        <w:t xml:space="preserve">criteria for promotion and tenure, the Committee shall evaluate them based on the categories given in the evaluation forms. In other words, the Committee shall not attempt to re-calculate the candidate’s prior evaluations based on changes in the categories since the time the FAARs and APRs were submitted. The candidate’s overall evaluation ratings on the APRs may be considered in the review for promotion or tenure but shall not carry more weight than evidence in any other section of the </w:t>
      </w:r>
      <w:proofErr w:type="gramStart"/>
      <w:r>
        <w:t>credentials</w:t>
      </w:r>
      <w:proofErr w:type="gramEnd"/>
      <w:r>
        <w:t xml:space="preserve"> file.</w:t>
      </w:r>
    </w:p>
    <w:p w14:paraId="3D2AFEBF" w14:textId="16272F62" w:rsidR="00A3534A" w:rsidRDefault="002F701C" w:rsidP="00D3620D">
      <w:pPr>
        <w:pStyle w:val="Heading4"/>
        <w:numPr>
          <w:ilvl w:val="3"/>
          <w:numId w:val="1"/>
        </w:numPr>
      </w:pPr>
      <w:r>
        <w:t>Curriculum Vita</w:t>
      </w:r>
      <w:r w:rsidR="009514EE">
        <w:t>e</w:t>
      </w:r>
    </w:p>
    <w:p w14:paraId="22FC00C2" w14:textId="46162069" w:rsidR="003216D6" w:rsidRDefault="002F701C" w:rsidP="008B6A26">
      <w:pPr>
        <w:pStyle w:val="ListParagraph"/>
        <w:ind w:left="1440"/>
      </w:pPr>
      <w:r>
        <w:t xml:space="preserve">The </w:t>
      </w:r>
      <w:r w:rsidRPr="00FA6799">
        <w:t>curriculum vita</w:t>
      </w:r>
      <w:r w:rsidR="009514EE">
        <w:t>e</w:t>
      </w:r>
      <w:r>
        <w:t xml:space="preserve"> (CV) is a listing of professional activities over the candidate’s career(s). Activities during the period under review will be supported by evidence in the file. The CV also gives evidence of the candidate’s overall productivity over time; the Committee is to evaluate such productivity according to expectations stated in the criteria for promotion and tenure.</w:t>
      </w:r>
    </w:p>
    <w:p w14:paraId="2C5EF9C9" w14:textId="70AB9097" w:rsidR="00A3534A" w:rsidRDefault="002F701C" w:rsidP="00D3620D">
      <w:pPr>
        <w:pStyle w:val="Heading4"/>
        <w:numPr>
          <w:ilvl w:val="3"/>
          <w:numId w:val="1"/>
        </w:numPr>
      </w:pPr>
      <w:r>
        <w:t>Letters of Recommendation</w:t>
      </w:r>
    </w:p>
    <w:p w14:paraId="351B1DE7" w14:textId="51D96AC7" w:rsidR="003216D6" w:rsidRDefault="002F701C" w:rsidP="008B6A26">
      <w:pPr>
        <w:pStyle w:val="ListParagraph"/>
        <w:ind w:left="1440"/>
      </w:pPr>
      <w:r>
        <w:t>The letters of recommendation should be considered as evidence in evaluating the candidate’s recognition in their field. Because these are letters of recommendation available to the candidate, and not confidential evaluations of the candidate, they must be evaluated by the Committee in that context.</w:t>
      </w:r>
    </w:p>
    <w:p w14:paraId="34ABDE2B" w14:textId="68811105" w:rsidR="00A3534A" w:rsidRDefault="002F701C" w:rsidP="00D3620D">
      <w:pPr>
        <w:pStyle w:val="Heading4"/>
        <w:numPr>
          <w:ilvl w:val="3"/>
          <w:numId w:val="1"/>
        </w:numPr>
      </w:pPr>
      <w:r>
        <w:t>R</w:t>
      </w:r>
      <w:r w:rsidR="00B87C0F">
        <w:t>ationale Statement</w:t>
      </w:r>
    </w:p>
    <w:p w14:paraId="5E9A1D1B" w14:textId="34469956" w:rsidR="003216D6" w:rsidRDefault="00B87C0F" w:rsidP="008B6A26">
      <w:pPr>
        <w:pStyle w:val="ListParagraph"/>
        <w:ind w:left="1440"/>
      </w:pPr>
      <w:r>
        <w:t>The rationale statement is the candidate’s opportunity to explain how they have met the criteria for tenure or promotion during the period under review. The candidate is not expected to mention every detail of their activity during this period in the Rationale; such detail is available to the Committee in the candidate’s FAARs and CV. Therefore, the committee should not evaluate the Rationale in terms of comprehensiveness. However, the committee may consider factors relating to the accuracy of information in the Rationale Statement.</w:t>
      </w:r>
    </w:p>
    <w:p w14:paraId="4CFDFEDE" w14:textId="0C6D60D5" w:rsidR="00A3534A" w:rsidRDefault="00B87C0F" w:rsidP="00D3620D">
      <w:pPr>
        <w:pStyle w:val="Heading4"/>
        <w:numPr>
          <w:ilvl w:val="3"/>
          <w:numId w:val="1"/>
        </w:numPr>
      </w:pPr>
      <w:r>
        <w:t>Evidence in Support of Teaching Criteria</w:t>
      </w:r>
    </w:p>
    <w:p w14:paraId="27D83821" w14:textId="096A1B4F" w:rsidR="003216D6" w:rsidRDefault="00B87C0F" w:rsidP="008B6A26">
      <w:pPr>
        <w:pStyle w:val="ListParagraph"/>
        <w:ind w:left="1440"/>
      </w:pPr>
      <w:r>
        <w:t xml:space="preserve">Candidates are expected to meet </w:t>
      </w:r>
      <w:r w:rsidR="00397088">
        <w:t>established</w:t>
      </w:r>
      <w:r>
        <w:t xml:space="preserve"> criteria in the category of </w:t>
      </w:r>
      <w:r w:rsidR="00DF6C3B">
        <w:t>t</w:t>
      </w:r>
      <w:r>
        <w:t>eaching</w:t>
      </w:r>
      <w:r w:rsidR="00DF6C3B">
        <w:t xml:space="preserve"> (</w:t>
      </w:r>
      <w:r w:rsidR="00DF6C3B" w:rsidRPr="00E92798">
        <w:t xml:space="preserve">see </w:t>
      </w:r>
      <w:r w:rsidR="00FA6799" w:rsidRPr="00E92798">
        <w:t xml:space="preserve">University </w:t>
      </w:r>
      <w:r w:rsidR="00FA6799" w:rsidRPr="00E92798">
        <w:rPr>
          <w:i/>
          <w:iCs/>
        </w:rPr>
        <w:t>Faculty Handbook</w:t>
      </w:r>
      <w:r w:rsidR="00DF6C3B" w:rsidRPr="00E92798">
        <w:t xml:space="preserve"> </w:t>
      </w:r>
      <w:r w:rsidR="00E92798" w:rsidRPr="00E92798">
        <w:t>§</w:t>
      </w:r>
      <w:r w:rsidR="00DF6C3B" w:rsidRPr="00E92798">
        <w:t xml:space="preserve"> 7</w:t>
      </w:r>
      <w:r w:rsidR="00E92798">
        <w:t>.3.1</w:t>
      </w:r>
      <w:r w:rsidR="00DF6C3B">
        <w:t>)</w:t>
      </w:r>
      <w:r>
        <w:t xml:space="preserve">. The variety of courses taught, the number of preparations each semester, and the number of new and revised courses may be considered in evaluation of teaching, as these </w:t>
      </w:r>
      <w:r>
        <w:lastRenderedPageBreak/>
        <w:t>impact quality. Teaching of individual courses, such as field placement supervision, research, and individual study, should be included.</w:t>
      </w:r>
    </w:p>
    <w:p w14:paraId="02E7832F" w14:textId="6F6B001D" w:rsidR="00A3534A" w:rsidRDefault="00B87C0F" w:rsidP="00D3620D">
      <w:pPr>
        <w:pStyle w:val="Heading4"/>
        <w:numPr>
          <w:ilvl w:val="3"/>
          <w:numId w:val="1"/>
        </w:numPr>
      </w:pPr>
      <w:r>
        <w:t>E</w:t>
      </w:r>
      <w:r w:rsidR="00EC3316">
        <w:t>vidence in Support of Scholarship and Professional Development Criteria</w:t>
      </w:r>
    </w:p>
    <w:p w14:paraId="4285FFDE" w14:textId="69F34649" w:rsidR="003216D6" w:rsidRDefault="00397088" w:rsidP="008B6A26">
      <w:pPr>
        <w:pStyle w:val="ListParagraph"/>
        <w:ind w:left="1440"/>
      </w:pPr>
      <w:r>
        <w:t>Candidates are expected to meet established criteria in the category of scholarship (</w:t>
      </w:r>
      <w:r w:rsidRPr="00E92798">
        <w:t xml:space="preserve">see </w:t>
      </w:r>
      <w:r w:rsidR="00E92798" w:rsidRPr="00E92798">
        <w:t xml:space="preserve">University </w:t>
      </w:r>
      <w:r w:rsidR="00E92798" w:rsidRPr="00E92798">
        <w:rPr>
          <w:i/>
          <w:iCs/>
        </w:rPr>
        <w:t>Faculty Handbook</w:t>
      </w:r>
      <w:r w:rsidR="00E92798" w:rsidRPr="00E92798">
        <w:t xml:space="preserve"> § 7</w:t>
      </w:r>
      <w:r w:rsidR="00E92798">
        <w:t>.3.2</w:t>
      </w:r>
      <w:r>
        <w:t xml:space="preserve">). </w:t>
      </w:r>
      <w:r w:rsidR="00EC3316">
        <w:t>The candidate’s rationale should provide a context for the evidence included and reference supporting materials.</w:t>
      </w:r>
    </w:p>
    <w:p w14:paraId="5ED70FD3" w14:textId="3B3BB0FF" w:rsidR="00A3534A" w:rsidRDefault="00EC3316" w:rsidP="00D3620D">
      <w:pPr>
        <w:pStyle w:val="Heading4"/>
        <w:numPr>
          <w:ilvl w:val="3"/>
          <w:numId w:val="1"/>
        </w:numPr>
      </w:pPr>
      <w:r>
        <w:t>Evidence in Support of Service Criteria</w:t>
      </w:r>
    </w:p>
    <w:p w14:paraId="3AE40011" w14:textId="6B8F8D5C" w:rsidR="003216D6" w:rsidRDefault="005207DB" w:rsidP="008B6A26">
      <w:pPr>
        <w:pStyle w:val="ListParagraph"/>
        <w:ind w:left="1440"/>
      </w:pPr>
      <w:r>
        <w:t>Candidates are expected to meet established criteria in the category of service (</w:t>
      </w:r>
      <w:r w:rsidRPr="00E92798">
        <w:t>see</w:t>
      </w:r>
      <w:r w:rsidR="00E92798" w:rsidRPr="00E92798">
        <w:t xml:space="preserve"> University </w:t>
      </w:r>
      <w:r w:rsidR="00E92798" w:rsidRPr="00E92798">
        <w:rPr>
          <w:i/>
          <w:iCs/>
        </w:rPr>
        <w:t>Faculty Handbook</w:t>
      </w:r>
      <w:r w:rsidR="00E92798" w:rsidRPr="00E92798">
        <w:t xml:space="preserve"> § 7</w:t>
      </w:r>
      <w:r w:rsidR="00E92798">
        <w:t>.3.3</w:t>
      </w:r>
      <w:r>
        <w:t xml:space="preserve">). </w:t>
      </w:r>
      <w:r w:rsidR="00EC3316">
        <w:t xml:space="preserve">Much of a faculty member’s institutional service is related to the needs of the different </w:t>
      </w:r>
      <w:r w:rsidR="001F6708">
        <w:t xml:space="preserve">departments and/or </w:t>
      </w:r>
      <w:r w:rsidR="00EC3316">
        <w:t>colleges in which they work and may vary greatly over time</w:t>
      </w:r>
      <w:r w:rsidR="003D0C35">
        <w:t>,</w:t>
      </w:r>
      <w:r w:rsidR="00EC3316">
        <w:t xml:space="preserve"> as reflected in the FAARs and APRs. The candidate’s rationale statement should provide a context for any unusual demands.</w:t>
      </w:r>
    </w:p>
    <w:p w14:paraId="4FF95DCA" w14:textId="0E727C2A" w:rsidR="00235C35" w:rsidRDefault="00235C35" w:rsidP="00D3620D">
      <w:pPr>
        <w:pStyle w:val="Heading3"/>
        <w:numPr>
          <w:ilvl w:val="2"/>
          <w:numId w:val="1"/>
        </w:numPr>
      </w:pPr>
      <w:r>
        <w:t>Report to Dean</w:t>
      </w:r>
    </w:p>
    <w:p w14:paraId="4B3D6892" w14:textId="67E39363" w:rsidR="003216D6" w:rsidRDefault="00235C35" w:rsidP="008B6A26">
      <w:pPr>
        <w:pStyle w:val="ListParagraph"/>
        <w:ind w:left="1080"/>
      </w:pPr>
      <w:r>
        <w:t>Upon completion of the review, the Committee shall provide a written recommendation to the</w:t>
      </w:r>
      <w:r w:rsidR="00124830">
        <w:t xml:space="preserve"> </w:t>
      </w:r>
      <w:r>
        <w:t xml:space="preserve">Dean for each candidate reviewed. A written rationale will accompany each recommendation, explaining the extent to which the promotion and/or tenure criteria established in Section 7 of the </w:t>
      </w:r>
      <w:r w:rsidRPr="00E92798">
        <w:t xml:space="preserve">University </w:t>
      </w:r>
      <w:r w:rsidRPr="00235C35">
        <w:rPr>
          <w:i/>
          <w:iCs/>
        </w:rPr>
        <w:t>Faculty Handbook</w:t>
      </w:r>
      <w:r>
        <w:t xml:space="preserve"> have been met by each candidate based on the contents of the candidate’s promotion or tenure file. In all other respects, the deliberations of the Committee shall be held in strictest confidence. </w:t>
      </w:r>
    </w:p>
    <w:p w14:paraId="0F35A708" w14:textId="2143EF9C" w:rsidR="00235C35" w:rsidRDefault="00235C35" w:rsidP="00D3620D">
      <w:pPr>
        <w:pStyle w:val="Heading3"/>
        <w:numPr>
          <w:ilvl w:val="2"/>
          <w:numId w:val="1"/>
        </w:numPr>
      </w:pPr>
      <w:r>
        <w:t>Follow-Up Meeti</w:t>
      </w:r>
      <w:r w:rsidR="008B6A26">
        <w:t>ng</w:t>
      </w:r>
    </w:p>
    <w:p w14:paraId="20C573A2" w14:textId="3732BFC5" w:rsidR="003216D6" w:rsidRDefault="00235C35" w:rsidP="008B6A26">
      <w:pPr>
        <w:pStyle w:val="ListParagraph"/>
        <w:ind w:left="1080"/>
      </w:pPr>
      <w:r>
        <w:t>Following their review of the candidates, the Dean, at their discretion, may call a meeting of the Promotion and Tenure Committee to discuss the reviews of the Dean and of the committee.</w:t>
      </w:r>
    </w:p>
    <w:p w14:paraId="443DC7B0" w14:textId="02AAD96D" w:rsidR="00041B2F" w:rsidRDefault="00041B2F" w:rsidP="00D3620D">
      <w:pPr>
        <w:pStyle w:val="Heading2"/>
        <w:numPr>
          <w:ilvl w:val="1"/>
          <w:numId w:val="1"/>
        </w:numPr>
      </w:pPr>
      <w:r>
        <w:t>Dean</w:t>
      </w:r>
    </w:p>
    <w:p w14:paraId="47A5CABB" w14:textId="325219C9" w:rsidR="003216D6" w:rsidRDefault="00041B2F" w:rsidP="008B6A26">
      <w:pPr>
        <w:pStyle w:val="ListParagraph"/>
        <w:ind w:left="740"/>
      </w:pPr>
      <w:r>
        <w:t xml:space="preserve">The Dean should verify that materials are submitted on time and, on the specified date, close the file by charging the committee to review the digital file. The Dean should brief the committee clearly on relevant institutional constraints before it begins deliberating and assist both the committee and the candidates in protecting the confidentiality of the process. After the committee forwards its recommendations, the Dean may meet with them to clarify the recommendations. </w:t>
      </w:r>
      <w:r>
        <w:lastRenderedPageBreak/>
        <w:t>In reaching their own recommendations, the Dean should consider first whether the candidate’s record of achievement as represented in the file satisfies the relevant criteria. The dean may also consider two other factors: institutional constraints on promotion or tenure; and additional information about the candidate’s performance which they have learned through formal processes, and which is clearly represented in the candidate’s personnel folder. In no case is the Dean to grant any credence to anonymous or informal claims about the candidate’s performance.</w:t>
      </w:r>
    </w:p>
    <w:p w14:paraId="6AEB3469" w14:textId="20B13D34" w:rsidR="00041B2F" w:rsidRDefault="00041B2F" w:rsidP="00D3620D">
      <w:pPr>
        <w:pStyle w:val="Heading2"/>
        <w:numPr>
          <w:ilvl w:val="1"/>
          <w:numId w:val="1"/>
        </w:numPr>
      </w:pPr>
      <w:r>
        <w:t>Provost</w:t>
      </w:r>
    </w:p>
    <w:p w14:paraId="084AA0B5" w14:textId="73F878F3" w:rsidR="002030E8" w:rsidRPr="002030E8" w:rsidRDefault="00041B2F" w:rsidP="00B42D1C">
      <w:pPr>
        <w:pStyle w:val="ListParagraph"/>
        <w:ind w:left="740"/>
      </w:pPr>
      <w:r>
        <w:t xml:space="preserve">The </w:t>
      </w:r>
      <w:proofErr w:type="gramStart"/>
      <w:r>
        <w:t>Provost</w:t>
      </w:r>
      <w:proofErr w:type="gramEnd"/>
      <w:r>
        <w:t xml:space="preserve"> shall review the recommendation letter from the Promotion and Tenure committee along with the recommendation letter from the </w:t>
      </w:r>
      <w:proofErr w:type="gramStart"/>
      <w:r>
        <w:t>Dean, and</w:t>
      </w:r>
      <w:proofErr w:type="gramEnd"/>
      <w:r>
        <w:t xml:space="preserve"> may also consider institutional constraints that may bear on promotion or tenure decisions. As necessary during this stage of the process, the </w:t>
      </w:r>
      <w:proofErr w:type="gramStart"/>
      <w:r>
        <w:t>Provost</w:t>
      </w:r>
      <w:proofErr w:type="gramEnd"/>
      <w:r>
        <w:t xml:space="preserve"> may examine the candidate’s record of achievement as represented in the file when formulating their recommendation that will be submitted to the President.</w:t>
      </w:r>
    </w:p>
    <w:p w14:paraId="42DE7360" w14:textId="07F36ED2" w:rsidR="003E22B2" w:rsidRPr="003E22B2" w:rsidRDefault="003E22B2" w:rsidP="00E669FE"/>
    <w:sectPr w:rsidR="003E22B2" w:rsidRPr="003E22B2">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69D6" w14:textId="77777777" w:rsidR="00411300" w:rsidRDefault="00411300">
      <w:pPr>
        <w:spacing w:after="0" w:line="240" w:lineRule="auto"/>
      </w:pPr>
      <w:r>
        <w:separator/>
      </w:r>
    </w:p>
  </w:endnote>
  <w:endnote w:type="continuationSeparator" w:id="0">
    <w:p w14:paraId="3B8A5851" w14:textId="77777777" w:rsidR="00411300" w:rsidRDefault="0041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5951315"/>
      <w:docPartObj>
        <w:docPartGallery w:val="Page Numbers (Bottom of Page)"/>
        <w:docPartUnique/>
      </w:docPartObj>
    </w:sdtPr>
    <w:sdtEndPr>
      <w:rPr>
        <w:rStyle w:val="PageNumber"/>
      </w:rPr>
    </w:sdtEndPr>
    <w:sdtContent>
      <w:p w14:paraId="08C01E61" w14:textId="17E101E9" w:rsidR="008F1DD1" w:rsidRDefault="008F1DD1" w:rsidP="009111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D3E5DE" w14:textId="77777777" w:rsidR="008F1DD1" w:rsidRDefault="008F1DD1" w:rsidP="008F1D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2109724"/>
      <w:docPartObj>
        <w:docPartGallery w:val="Page Numbers (Bottom of Page)"/>
        <w:docPartUnique/>
      </w:docPartObj>
    </w:sdtPr>
    <w:sdtEndPr>
      <w:rPr>
        <w:rStyle w:val="PageNumber"/>
      </w:rPr>
    </w:sdtEndPr>
    <w:sdtContent>
      <w:p w14:paraId="5952FA91" w14:textId="558851CD" w:rsidR="008F1DD1" w:rsidRDefault="008F1DD1" w:rsidP="009111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0" w:type="auto"/>
      <w:tblLook w:val="06A0" w:firstRow="1" w:lastRow="0" w:firstColumn="1" w:lastColumn="0" w:noHBand="1" w:noVBand="1"/>
    </w:tblPr>
    <w:tblGrid>
      <w:gridCol w:w="3120"/>
      <w:gridCol w:w="3120"/>
      <w:gridCol w:w="3120"/>
    </w:tblGrid>
    <w:tr w:rsidR="008F1DD1" w14:paraId="57E6E26D" w14:textId="77777777" w:rsidTr="0034196E">
      <w:trPr>
        <w:trHeight w:val="300"/>
      </w:trPr>
      <w:tc>
        <w:tcPr>
          <w:tcW w:w="3120" w:type="dxa"/>
        </w:tcPr>
        <w:p w14:paraId="1C6BEA40" w14:textId="4627AAB1" w:rsidR="008F1DD1" w:rsidRDefault="008F1DD1" w:rsidP="008F1DD1">
          <w:pPr>
            <w:pStyle w:val="Header"/>
            <w:ind w:right="360"/>
          </w:pPr>
          <w:r>
            <w:t>Approved by UFAC 2/23/26</w:t>
          </w:r>
        </w:p>
      </w:tc>
      <w:tc>
        <w:tcPr>
          <w:tcW w:w="3120" w:type="dxa"/>
        </w:tcPr>
        <w:p w14:paraId="47AB698A" w14:textId="47E44D07" w:rsidR="008F1DD1" w:rsidRDefault="008F1DD1" w:rsidP="008F1DD1">
          <w:pPr>
            <w:pStyle w:val="Header"/>
            <w:ind w:right="360"/>
          </w:pPr>
        </w:p>
      </w:tc>
      <w:tc>
        <w:tcPr>
          <w:tcW w:w="3120" w:type="dxa"/>
        </w:tcPr>
        <w:p w14:paraId="1AF8401A" w14:textId="38EE5817" w:rsidR="008F1DD1" w:rsidRDefault="008F1DD1" w:rsidP="008F1DD1">
          <w:pPr>
            <w:pStyle w:val="Header"/>
            <w:ind w:right="-115"/>
            <w:jc w:val="right"/>
          </w:pPr>
        </w:p>
      </w:tc>
    </w:tr>
  </w:tbl>
  <w:p w14:paraId="4E27EE8E" w14:textId="2C9195C0" w:rsidR="3AFE45F3" w:rsidRDefault="3AFE45F3" w:rsidP="3AFE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71B1" w14:textId="77777777" w:rsidR="00411300" w:rsidRDefault="00411300">
      <w:pPr>
        <w:spacing w:after="0" w:line="240" w:lineRule="auto"/>
      </w:pPr>
      <w:r>
        <w:separator/>
      </w:r>
    </w:p>
  </w:footnote>
  <w:footnote w:type="continuationSeparator" w:id="0">
    <w:p w14:paraId="1897DC2B" w14:textId="77777777" w:rsidR="00411300" w:rsidRDefault="0041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AFE45F3" w14:paraId="195B7A83" w14:textId="77777777" w:rsidTr="3AFE45F3">
      <w:trPr>
        <w:trHeight w:val="300"/>
      </w:trPr>
      <w:tc>
        <w:tcPr>
          <w:tcW w:w="3120" w:type="dxa"/>
        </w:tcPr>
        <w:p w14:paraId="5A38043B" w14:textId="03401935" w:rsidR="3AFE45F3" w:rsidRDefault="3AFE45F3" w:rsidP="3AFE45F3">
          <w:pPr>
            <w:pStyle w:val="Header"/>
            <w:ind w:left="-115"/>
          </w:pPr>
        </w:p>
      </w:tc>
      <w:tc>
        <w:tcPr>
          <w:tcW w:w="3120" w:type="dxa"/>
        </w:tcPr>
        <w:p w14:paraId="3DC56973" w14:textId="2A657A70" w:rsidR="3AFE45F3" w:rsidRDefault="3AFE45F3" w:rsidP="3AFE45F3">
          <w:pPr>
            <w:pStyle w:val="Header"/>
            <w:jc w:val="center"/>
          </w:pPr>
        </w:p>
      </w:tc>
      <w:tc>
        <w:tcPr>
          <w:tcW w:w="3120" w:type="dxa"/>
        </w:tcPr>
        <w:p w14:paraId="351193D6" w14:textId="0F0DD6FE" w:rsidR="3AFE45F3" w:rsidRDefault="3AFE45F3" w:rsidP="3AFE45F3">
          <w:pPr>
            <w:pStyle w:val="Header"/>
            <w:ind w:right="-115"/>
            <w:jc w:val="right"/>
          </w:pPr>
        </w:p>
      </w:tc>
    </w:tr>
  </w:tbl>
  <w:p w14:paraId="3F9BBC11" w14:textId="5B2DB541" w:rsidR="3AFE45F3" w:rsidRDefault="3AFE45F3" w:rsidP="3AFE4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327"/>
    <w:multiLevelType w:val="hybridMultilevel"/>
    <w:tmpl w:val="DFDA5896"/>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1" w15:restartNumberingAfterBreak="0">
    <w:nsid w:val="0D96619A"/>
    <w:multiLevelType w:val="hybridMultilevel"/>
    <w:tmpl w:val="4336C6D6"/>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2" w15:restartNumberingAfterBreak="0">
    <w:nsid w:val="14FD7113"/>
    <w:multiLevelType w:val="multilevel"/>
    <w:tmpl w:val="E514B4C4"/>
    <w:styleLink w:val="CurrentList1"/>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605033"/>
    <w:multiLevelType w:val="multilevel"/>
    <w:tmpl w:val="E514B4C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E086E1F"/>
    <w:multiLevelType w:val="hybridMultilevel"/>
    <w:tmpl w:val="D53CDB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D057FF7"/>
    <w:multiLevelType w:val="multilevel"/>
    <w:tmpl w:val="E514B4C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130121"/>
    <w:multiLevelType w:val="multilevel"/>
    <w:tmpl w:val="E514B4C4"/>
    <w:styleLink w:val="CurrentList2"/>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3A6A13"/>
    <w:multiLevelType w:val="hybridMultilevel"/>
    <w:tmpl w:val="6DCA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C63C6"/>
    <w:multiLevelType w:val="hybridMultilevel"/>
    <w:tmpl w:val="FB9C17FA"/>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9" w15:restartNumberingAfterBreak="0">
    <w:nsid w:val="6EEF2811"/>
    <w:multiLevelType w:val="hybridMultilevel"/>
    <w:tmpl w:val="8E8C26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A0B4C48"/>
    <w:multiLevelType w:val="hybridMultilevel"/>
    <w:tmpl w:val="90768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613947">
    <w:abstractNumId w:val="5"/>
  </w:num>
  <w:num w:numId="2" w16cid:durableId="1041519767">
    <w:abstractNumId w:val="10"/>
  </w:num>
  <w:num w:numId="3" w16cid:durableId="1034890704">
    <w:abstractNumId w:val="2"/>
  </w:num>
  <w:num w:numId="4" w16cid:durableId="250891279">
    <w:abstractNumId w:val="6"/>
  </w:num>
  <w:num w:numId="5" w16cid:durableId="861626166">
    <w:abstractNumId w:val="0"/>
  </w:num>
  <w:num w:numId="6" w16cid:durableId="1398243232">
    <w:abstractNumId w:val="8"/>
  </w:num>
  <w:num w:numId="7" w16cid:durableId="1344475546">
    <w:abstractNumId w:val="7"/>
  </w:num>
  <w:num w:numId="8" w16cid:durableId="1297686344">
    <w:abstractNumId w:val="9"/>
  </w:num>
  <w:num w:numId="9" w16cid:durableId="1939173718">
    <w:abstractNumId w:val="4"/>
  </w:num>
  <w:num w:numId="10" w16cid:durableId="2038002596">
    <w:abstractNumId w:val="3"/>
  </w:num>
  <w:num w:numId="11" w16cid:durableId="21465771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4C"/>
    <w:rsid w:val="00000C2C"/>
    <w:rsid w:val="000020D3"/>
    <w:rsid w:val="00003988"/>
    <w:rsid w:val="00003BEE"/>
    <w:rsid w:val="00005527"/>
    <w:rsid w:val="00011033"/>
    <w:rsid w:val="00012064"/>
    <w:rsid w:val="000167C7"/>
    <w:rsid w:val="000168FB"/>
    <w:rsid w:val="0002001D"/>
    <w:rsid w:val="000206A3"/>
    <w:rsid w:val="0002091B"/>
    <w:rsid w:val="000216D9"/>
    <w:rsid w:val="0002200A"/>
    <w:rsid w:val="00034A9E"/>
    <w:rsid w:val="00035708"/>
    <w:rsid w:val="00036034"/>
    <w:rsid w:val="0003721B"/>
    <w:rsid w:val="0003757A"/>
    <w:rsid w:val="000404BA"/>
    <w:rsid w:val="00040CE3"/>
    <w:rsid w:val="00041854"/>
    <w:rsid w:val="00041B2F"/>
    <w:rsid w:val="00046467"/>
    <w:rsid w:val="00046E86"/>
    <w:rsid w:val="0004715E"/>
    <w:rsid w:val="000502C8"/>
    <w:rsid w:val="00056F60"/>
    <w:rsid w:val="00057128"/>
    <w:rsid w:val="00060649"/>
    <w:rsid w:val="0006409C"/>
    <w:rsid w:val="000669EE"/>
    <w:rsid w:val="00073C43"/>
    <w:rsid w:val="00073CE0"/>
    <w:rsid w:val="00081A33"/>
    <w:rsid w:val="00084305"/>
    <w:rsid w:val="00085E01"/>
    <w:rsid w:val="00086AC3"/>
    <w:rsid w:val="0009060F"/>
    <w:rsid w:val="000906C0"/>
    <w:rsid w:val="00090A98"/>
    <w:rsid w:val="00091492"/>
    <w:rsid w:val="000927B6"/>
    <w:rsid w:val="0009348D"/>
    <w:rsid w:val="000946B0"/>
    <w:rsid w:val="00095C02"/>
    <w:rsid w:val="000A26EC"/>
    <w:rsid w:val="000A344D"/>
    <w:rsid w:val="000A3826"/>
    <w:rsid w:val="000A40C5"/>
    <w:rsid w:val="000A725C"/>
    <w:rsid w:val="000B7E17"/>
    <w:rsid w:val="000C44AC"/>
    <w:rsid w:val="000D43C2"/>
    <w:rsid w:val="000D5B8F"/>
    <w:rsid w:val="000D754F"/>
    <w:rsid w:val="000E36EF"/>
    <w:rsid w:val="000F21C6"/>
    <w:rsid w:val="000F75F6"/>
    <w:rsid w:val="000F7FA0"/>
    <w:rsid w:val="0010245C"/>
    <w:rsid w:val="00102592"/>
    <w:rsid w:val="0010496E"/>
    <w:rsid w:val="0011401E"/>
    <w:rsid w:val="00115318"/>
    <w:rsid w:val="00115373"/>
    <w:rsid w:val="00116A3D"/>
    <w:rsid w:val="001175F2"/>
    <w:rsid w:val="00124830"/>
    <w:rsid w:val="0012544C"/>
    <w:rsid w:val="0013260E"/>
    <w:rsid w:val="00133CB0"/>
    <w:rsid w:val="00133FE8"/>
    <w:rsid w:val="00134150"/>
    <w:rsid w:val="00135F8F"/>
    <w:rsid w:val="0014242D"/>
    <w:rsid w:val="001435EC"/>
    <w:rsid w:val="001476D4"/>
    <w:rsid w:val="00154A36"/>
    <w:rsid w:val="00157658"/>
    <w:rsid w:val="0016009A"/>
    <w:rsid w:val="00162A09"/>
    <w:rsid w:val="001660AB"/>
    <w:rsid w:val="001665E9"/>
    <w:rsid w:val="00167E93"/>
    <w:rsid w:val="001710BE"/>
    <w:rsid w:val="0017444B"/>
    <w:rsid w:val="001801E0"/>
    <w:rsid w:val="00184867"/>
    <w:rsid w:val="00186F32"/>
    <w:rsid w:val="00192051"/>
    <w:rsid w:val="00193C70"/>
    <w:rsid w:val="0019421F"/>
    <w:rsid w:val="00195C04"/>
    <w:rsid w:val="001A0EBB"/>
    <w:rsid w:val="001A3279"/>
    <w:rsid w:val="001A3BCA"/>
    <w:rsid w:val="001A4D30"/>
    <w:rsid w:val="001A5658"/>
    <w:rsid w:val="001A7A9F"/>
    <w:rsid w:val="001B343D"/>
    <w:rsid w:val="001B4B01"/>
    <w:rsid w:val="001C05EA"/>
    <w:rsid w:val="001C2A81"/>
    <w:rsid w:val="001C368A"/>
    <w:rsid w:val="001C4E20"/>
    <w:rsid w:val="001C6836"/>
    <w:rsid w:val="001D2657"/>
    <w:rsid w:val="001D2E3F"/>
    <w:rsid w:val="001D5B95"/>
    <w:rsid w:val="001D5E60"/>
    <w:rsid w:val="001E33DB"/>
    <w:rsid w:val="001E3B8C"/>
    <w:rsid w:val="001E5267"/>
    <w:rsid w:val="001E75E1"/>
    <w:rsid w:val="001F262A"/>
    <w:rsid w:val="001F3701"/>
    <w:rsid w:val="001F4180"/>
    <w:rsid w:val="001F606D"/>
    <w:rsid w:val="001F6708"/>
    <w:rsid w:val="001F77C2"/>
    <w:rsid w:val="002030E8"/>
    <w:rsid w:val="00206CD0"/>
    <w:rsid w:val="00212312"/>
    <w:rsid w:val="00214405"/>
    <w:rsid w:val="00220F68"/>
    <w:rsid w:val="00223046"/>
    <w:rsid w:val="00224FFD"/>
    <w:rsid w:val="002306DE"/>
    <w:rsid w:val="00231BF2"/>
    <w:rsid w:val="002341F0"/>
    <w:rsid w:val="002357E8"/>
    <w:rsid w:val="00235C35"/>
    <w:rsid w:val="0024299A"/>
    <w:rsid w:val="002452EE"/>
    <w:rsid w:val="00251606"/>
    <w:rsid w:val="002533FE"/>
    <w:rsid w:val="00263A89"/>
    <w:rsid w:val="00263B59"/>
    <w:rsid w:val="00264977"/>
    <w:rsid w:val="0026527A"/>
    <w:rsid w:val="00265B3C"/>
    <w:rsid w:val="0028416B"/>
    <w:rsid w:val="00286D77"/>
    <w:rsid w:val="002908A0"/>
    <w:rsid w:val="00295EFA"/>
    <w:rsid w:val="00297C6F"/>
    <w:rsid w:val="002A0B10"/>
    <w:rsid w:val="002A1C8F"/>
    <w:rsid w:val="002A558A"/>
    <w:rsid w:val="002A5BDC"/>
    <w:rsid w:val="002A5DF8"/>
    <w:rsid w:val="002B3368"/>
    <w:rsid w:val="002B3601"/>
    <w:rsid w:val="002B5836"/>
    <w:rsid w:val="002C1111"/>
    <w:rsid w:val="002C2590"/>
    <w:rsid w:val="002C3CBA"/>
    <w:rsid w:val="002C6E30"/>
    <w:rsid w:val="002C6F12"/>
    <w:rsid w:val="002C7DA1"/>
    <w:rsid w:val="002D2169"/>
    <w:rsid w:val="002D265B"/>
    <w:rsid w:val="002D39D3"/>
    <w:rsid w:val="002D3F5B"/>
    <w:rsid w:val="002D51BD"/>
    <w:rsid w:val="002E0404"/>
    <w:rsid w:val="002E2F5A"/>
    <w:rsid w:val="002E446A"/>
    <w:rsid w:val="002F3B5F"/>
    <w:rsid w:val="002F6001"/>
    <w:rsid w:val="002F701C"/>
    <w:rsid w:val="00300339"/>
    <w:rsid w:val="00304D9E"/>
    <w:rsid w:val="003102EF"/>
    <w:rsid w:val="003122B1"/>
    <w:rsid w:val="00315858"/>
    <w:rsid w:val="0031644D"/>
    <w:rsid w:val="00317304"/>
    <w:rsid w:val="003201AB"/>
    <w:rsid w:val="00321424"/>
    <w:rsid w:val="003216D6"/>
    <w:rsid w:val="003217E5"/>
    <w:rsid w:val="00324EC0"/>
    <w:rsid w:val="00333DE1"/>
    <w:rsid w:val="0033557F"/>
    <w:rsid w:val="00335CBD"/>
    <w:rsid w:val="00342125"/>
    <w:rsid w:val="00342E9E"/>
    <w:rsid w:val="00344FBD"/>
    <w:rsid w:val="0034607A"/>
    <w:rsid w:val="00346826"/>
    <w:rsid w:val="0034699D"/>
    <w:rsid w:val="0034717C"/>
    <w:rsid w:val="00350C8B"/>
    <w:rsid w:val="00360211"/>
    <w:rsid w:val="00360D6F"/>
    <w:rsid w:val="00367376"/>
    <w:rsid w:val="00372D7E"/>
    <w:rsid w:val="00373E92"/>
    <w:rsid w:val="00380953"/>
    <w:rsid w:val="00381256"/>
    <w:rsid w:val="003868EC"/>
    <w:rsid w:val="00394164"/>
    <w:rsid w:val="00394F16"/>
    <w:rsid w:val="003954E5"/>
    <w:rsid w:val="003959F4"/>
    <w:rsid w:val="00397088"/>
    <w:rsid w:val="0039793F"/>
    <w:rsid w:val="003A08DB"/>
    <w:rsid w:val="003A324E"/>
    <w:rsid w:val="003A3F1F"/>
    <w:rsid w:val="003A5EF4"/>
    <w:rsid w:val="003B3C63"/>
    <w:rsid w:val="003B66A1"/>
    <w:rsid w:val="003B74CB"/>
    <w:rsid w:val="003C0A70"/>
    <w:rsid w:val="003C0B5B"/>
    <w:rsid w:val="003C1DB7"/>
    <w:rsid w:val="003C3626"/>
    <w:rsid w:val="003C3DEE"/>
    <w:rsid w:val="003C6E0E"/>
    <w:rsid w:val="003D0C35"/>
    <w:rsid w:val="003D1562"/>
    <w:rsid w:val="003D3C3C"/>
    <w:rsid w:val="003D5ACD"/>
    <w:rsid w:val="003D6B66"/>
    <w:rsid w:val="003E180A"/>
    <w:rsid w:val="003E22B2"/>
    <w:rsid w:val="003E7040"/>
    <w:rsid w:val="003F01B3"/>
    <w:rsid w:val="003F0281"/>
    <w:rsid w:val="003F32A4"/>
    <w:rsid w:val="00405D4D"/>
    <w:rsid w:val="00411300"/>
    <w:rsid w:val="004124F7"/>
    <w:rsid w:val="00415A41"/>
    <w:rsid w:val="00416545"/>
    <w:rsid w:val="00427530"/>
    <w:rsid w:val="00430412"/>
    <w:rsid w:val="00430A9E"/>
    <w:rsid w:val="00431B6F"/>
    <w:rsid w:val="00433E38"/>
    <w:rsid w:val="00434AE0"/>
    <w:rsid w:val="004442BE"/>
    <w:rsid w:val="004521D9"/>
    <w:rsid w:val="00452B80"/>
    <w:rsid w:val="00457662"/>
    <w:rsid w:val="00463D39"/>
    <w:rsid w:val="00464BBB"/>
    <w:rsid w:val="00465338"/>
    <w:rsid w:val="00471018"/>
    <w:rsid w:val="0047540A"/>
    <w:rsid w:val="00476DCD"/>
    <w:rsid w:val="004802C8"/>
    <w:rsid w:val="0048393A"/>
    <w:rsid w:val="00490609"/>
    <w:rsid w:val="00491536"/>
    <w:rsid w:val="00491DBB"/>
    <w:rsid w:val="004924D7"/>
    <w:rsid w:val="00492D75"/>
    <w:rsid w:val="004A7A68"/>
    <w:rsid w:val="004B232D"/>
    <w:rsid w:val="004B594B"/>
    <w:rsid w:val="004B5DD9"/>
    <w:rsid w:val="004B6CA0"/>
    <w:rsid w:val="004C02B0"/>
    <w:rsid w:val="004C1E09"/>
    <w:rsid w:val="004C2060"/>
    <w:rsid w:val="004C703C"/>
    <w:rsid w:val="004C757E"/>
    <w:rsid w:val="004D03C1"/>
    <w:rsid w:val="004D0CF3"/>
    <w:rsid w:val="004D0F22"/>
    <w:rsid w:val="004D1175"/>
    <w:rsid w:val="004D1B0F"/>
    <w:rsid w:val="004D1F4F"/>
    <w:rsid w:val="004D4533"/>
    <w:rsid w:val="004D46DC"/>
    <w:rsid w:val="004D72DD"/>
    <w:rsid w:val="004E17E7"/>
    <w:rsid w:val="004E3614"/>
    <w:rsid w:val="004E3C13"/>
    <w:rsid w:val="004E40C4"/>
    <w:rsid w:val="004E5947"/>
    <w:rsid w:val="004E5AD0"/>
    <w:rsid w:val="004E7609"/>
    <w:rsid w:val="004E780C"/>
    <w:rsid w:val="004F0CAF"/>
    <w:rsid w:val="004F3DB8"/>
    <w:rsid w:val="004F4898"/>
    <w:rsid w:val="004F7DB9"/>
    <w:rsid w:val="00500934"/>
    <w:rsid w:val="00501A4F"/>
    <w:rsid w:val="00501B9F"/>
    <w:rsid w:val="00514080"/>
    <w:rsid w:val="00515CA3"/>
    <w:rsid w:val="00516266"/>
    <w:rsid w:val="005207DB"/>
    <w:rsid w:val="005248C9"/>
    <w:rsid w:val="00526423"/>
    <w:rsid w:val="005316CF"/>
    <w:rsid w:val="00533CA1"/>
    <w:rsid w:val="00534C24"/>
    <w:rsid w:val="00535767"/>
    <w:rsid w:val="00536A71"/>
    <w:rsid w:val="00537269"/>
    <w:rsid w:val="00540A3A"/>
    <w:rsid w:val="005424BE"/>
    <w:rsid w:val="00542AF6"/>
    <w:rsid w:val="00542B67"/>
    <w:rsid w:val="005438CD"/>
    <w:rsid w:val="00544422"/>
    <w:rsid w:val="00544A45"/>
    <w:rsid w:val="00545D4E"/>
    <w:rsid w:val="00546E2C"/>
    <w:rsid w:val="005515B7"/>
    <w:rsid w:val="0055192F"/>
    <w:rsid w:val="005555BB"/>
    <w:rsid w:val="00556074"/>
    <w:rsid w:val="00562065"/>
    <w:rsid w:val="005645A3"/>
    <w:rsid w:val="005676AB"/>
    <w:rsid w:val="0057478C"/>
    <w:rsid w:val="005747B1"/>
    <w:rsid w:val="00574947"/>
    <w:rsid w:val="0058355F"/>
    <w:rsid w:val="00583D0D"/>
    <w:rsid w:val="00584F83"/>
    <w:rsid w:val="00586BA7"/>
    <w:rsid w:val="005904EC"/>
    <w:rsid w:val="00590940"/>
    <w:rsid w:val="00590A28"/>
    <w:rsid w:val="005931E1"/>
    <w:rsid w:val="00593D69"/>
    <w:rsid w:val="00595317"/>
    <w:rsid w:val="005979F6"/>
    <w:rsid w:val="00597AC6"/>
    <w:rsid w:val="00597CEA"/>
    <w:rsid w:val="005A0A81"/>
    <w:rsid w:val="005A1D59"/>
    <w:rsid w:val="005A371E"/>
    <w:rsid w:val="005A5443"/>
    <w:rsid w:val="005A7D6E"/>
    <w:rsid w:val="005B01BE"/>
    <w:rsid w:val="005B1A62"/>
    <w:rsid w:val="005B22D9"/>
    <w:rsid w:val="005C6658"/>
    <w:rsid w:val="005C6954"/>
    <w:rsid w:val="005D0CE1"/>
    <w:rsid w:val="005D12D9"/>
    <w:rsid w:val="005E022E"/>
    <w:rsid w:val="005E03ED"/>
    <w:rsid w:val="005E6B95"/>
    <w:rsid w:val="005E7DDA"/>
    <w:rsid w:val="005F21FF"/>
    <w:rsid w:val="005F540C"/>
    <w:rsid w:val="005F7FB3"/>
    <w:rsid w:val="0060055B"/>
    <w:rsid w:val="006013EE"/>
    <w:rsid w:val="00603072"/>
    <w:rsid w:val="006059EB"/>
    <w:rsid w:val="006068C6"/>
    <w:rsid w:val="00621C79"/>
    <w:rsid w:val="006265D4"/>
    <w:rsid w:val="006301FF"/>
    <w:rsid w:val="006341D3"/>
    <w:rsid w:val="00634662"/>
    <w:rsid w:val="0063571A"/>
    <w:rsid w:val="00637E0C"/>
    <w:rsid w:val="006465E0"/>
    <w:rsid w:val="006510E5"/>
    <w:rsid w:val="00652A50"/>
    <w:rsid w:val="00655377"/>
    <w:rsid w:val="00655BF0"/>
    <w:rsid w:val="006569DC"/>
    <w:rsid w:val="00660D44"/>
    <w:rsid w:val="006702D5"/>
    <w:rsid w:val="00671072"/>
    <w:rsid w:val="0067173B"/>
    <w:rsid w:val="0067210F"/>
    <w:rsid w:val="00672F2B"/>
    <w:rsid w:val="00687491"/>
    <w:rsid w:val="0069355E"/>
    <w:rsid w:val="006A1087"/>
    <w:rsid w:val="006B051B"/>
    <w:rsid w:val="006B5790"/>
    <w:rsid w:val="006C18AB"/>
    <w:rsid w:val="006D1EF9"/>
    <w:rsid w:val="006D6932"/>
    <w:rsid w:val="006E1DCF"/>
    <w:rsid w:val="006E6135"/>
    <w:rsid w:val="006E7FF0"/>
    <w:rsid w:val="006F4D6D"/>
    <w:rsid w:val="006F63EF"/>
    <w:rsid w:val="006F7F0D"/>
    <w:rsid w:val="0070443E"/>
    <w:rsid w:val="007075CC"/>
    <w:rsid w:val="0071085D"/>
    <w:rsid w:val="00713D56"/>
    <w:rsid w:val="007227C5"/>
    <w:rsid w:val="007237E9"/>
    <w:rsid w:val="00726D41"/>
    <w:rsid w:val="0073050C"/>
    <w:rsid w:val="00730DB8"/>
    <w:rsid w:val="00731748"/>
    <w:rsid w:val="00737E64"/>
    <w:rsid w:val="00740175"/>
    <w:rsid w:val="0074141C"/>
    <w:rsid w:val="0074143C"/>
    <w:rsid w:val="00747AC9"/>
    <w:rsid w:val="00750881"/>
    <w:rsid w:val="00750EBC"/>
    <w:rsid w:val="00752C6D"/>
    <w:rsid w:val="007652F3"/>
    <w:rsid w:val="007666BF"/>
    <w:rsid w:val="00780240"/>
    <w:rsid w:val="007820DD"/>
    <w:rsid w:val="007830FE"/>
    <w:rsid w:val="0078457A"/>
    <w:rsid w:val="007863F7"/>
    <w:rsid w:val="007879D1"/>
    <w:rsid w:val="00795B50"/>
    <w:rsid w:val="007974AE"/>
    <w:rsid w:val="00797FB8"/>
    <w:rsid w:val="007A114C"/>
    <w:rsid w:val="007A3724"/>
    <w:rsid w:val="007B006B"/>
    <w:rsid w:val="007B1C72"/>
    <w:rsid w:val="007B3454"/>
    <w:rsid w:val="007B43B6"/>
    <w:rsid w:val="007C0F31"/>
    <w:rsid w:val="007C133B"/>
    <w:rsid w:val="007C52FD"/>
    <w:rsid w:val="007C60CA"/>
    <w:rsid w:val="007C7950"/>
    <w:rsid w:val="007D3686"/>
    <w:rsid w:val="007E5904"/>
    <w:rsid w:val="007E5E9B"/>
    <w:rsid w:val="007F1E33"/>
    <w:rsid w:val="007F2E02"/>
    <w:rsid w:val="007F43E9"/>
    <w:rsid w:val="007F4FDC"/>
    <w:rsid w:val="00803798"/>
    <w:rsid w:val="008040A7"/>
    <w:rsid w:val="0080464E"/>
    <w:rsid w:val="008129C1"/>
    <w:rsid w:val="00820DD8"/>
    <w:rsid w:val="00822F7A"/>
    <w:rsid w:val="008312CD"/>
    <w:rsid w:val="00832091"/>
    <w:rsid w:val="00832584"/>
    <w:rsid w:val="00832C24"/>
    <w:rsid w:val="008365CE"/>
    <w:rsid w:val="00840E6A"/>
    <w:rsid w:val="00841A15"/>
    <w:rsid w:val="00844BAB"/>
    <w:rsid w:val="00844F24"/>
    <w:rsid w:val="0086050C"/>
    <w:rsid w:val="00862827"/>
    <w:rsid w:val="00864225"/>
    <w:rsid w:val="008705E1"/>
    <w:rsid w:val="00871D6A"/>
    <w:rsid w:val="00872A81"/>
    <w:rsid w:val="008737A9"/>
    <w:rsid w:val="00874174"/>
    <w:rsid w:val="00876153"/>
    <w:rsid w:val="008764DE"/>
    <w:rsid w:val="00886283"/>
    <w:rsid w:val="00891098"/>
    <w:rsid w:val="00891DCD"/>
    <w:rsid w:val="008A000A"/>
    <w:rsid w:val="008A40D0"/>
    <w:rsid w:val="008A5329"/>
    <w:rsid w:val="008B06A8"/>
    <w:rsid w:val="008B0E66"/>
    <w:rsid w:val="008B40F2"/>
    <w:rsid w:val="008B6A26"/>
    <w:rsid w:val="008B7F8D"/>
    <w:rsid w:val="008C36C1"/>
    <w:rsid w:val="008C42EC"/>
    <w:rsid w:val="008C59BB"/>
    <w:rsid w:val="008D130B"/>
    <w:rsid w:val="008D28D4"/>
    <w:rsid w:val="008D3065"/>
    <w:rsid w:val="008D3CF6"/>
    <w:rsid w:val="008D4BC7"/>
    <w:rsid w:val="008D5E5D"/>
    <w:rsid w:val="008D6AD9"/>
    <w:rsid w:val="008E12DA"/>
    <w:rsid w:val="008E7443"/>
    <w:rsid w:val="008F1DD1"/>
    <w:rsid w:val="008F78C1"/>
    <w:rsid w:val="00903A43"/>
    <w:rsid w:val="00907606"/>
    <w:rsid w:val="00910B5F"/>
    <w:rsid w:val="00914A72"/>
    <w:rsid w:val="00920306"/>
    <w:rsid w:val="00926D36"/>
    <w:rsid w:val="00930A63"/>
    <w:rsid w:val="00932E78"/>
    <w:rsid w:val="009408CF"/>
    <w:rsid w:val="0094497C"/>
    <w:rsid w:val="009514EE"/>
    <w:rsid w:val="009572CD"/>
    <w:rsid w:val="00961C5C"/>
    <w:rsid w:val="00962C11"/>
    <w:rsid w:val="009632FA"/>
    <w:rsid w:val="00965C66"/>
    <w:rsid w:val="00973802"/>
    <w:rsid w:val="00974D42"/>
    <w:rsid w:val="00976B25"/>
    <w:rsid w:val="009806D3"/>
    <w:rsid w:val="009849BD"/>
    <w:rsid w:val="00985398"/>
    <w:rsid w:val="00990AFE"/>
    <w:rsid w:val="00994110"/>
    <w:rsid w:val="009961A2"/>
    <w:rsid w:val="00997BE3"/>
    <w:rsid w:val="009A1259"/>
    <w:rsid w:val="009A3F09"/>
    <w:rsid w:val="009A3F47"/>
    <w:rsid w:val="009A7460"/>
    <w:rsid w:val="009B1028"/>
    <w:rsid w:val="009D429E"/>
    <w:rsid w:val="009D46B7"/>
    <w:rsid w:val="009D5FC2"/>
    <w:rsid w:val="009D68F1"/>
    <w:rsid w:val="009D7156"/>
    <w:rsid w:val="009E2DC7"/>
    <w:rsid w:val="009E6A82"/>
    <w:rsid w:val="00A00C1B"/>
    <w:rsid w:val="00A00E39"/>
    <w:rsid w:val="00A11F24"/>
    <w:rsid w:val="00A131BA"/>
    <w:rsid w:val="00A172F2"/>
    <w:rsid w:val="00A215BA"/>
    <w:rsid w:val="00A2274C"/>
    <w:rsid w:val="00A23B89"/>
    <w:rsid w:val="00A2533C"/>
    <w:rsid w:val="00A265A8"/>
    <w:rsid w:val="00A270C4"/>
    <w:rsid w:val="00A30993"/>
    <w:rsid w:val="00A336AD"/>
    <w:rsid w:val="00A3439D"/>
    <w:rsid w:val="00A3534A"/>
    <w:rsid w:val="00A36589"/>
    <w:rsid w:val="00A36E23"/>
    <w:rsid w:val="00A40332"/>
    <w:rsid w:val="00A46E7E"/>
    <w:rsid w:val="00A47654"/>
    <w:rsid w:val="00A56723"/>
    <w:rsid w:val="00A6184D"/>
    <w:rsid w:val="00A629FA"/>
    <w:rsid w:val="00A708A6"/>
    <w:rsid w:val="00A70F67"/>
    <w:rsid w:val="00A71A75"/>
    <w:rsid w:val="00A73010"/>
    <w:rsid w:val="00A73AE7"/>
    <w:rsid w:val="00A754C8"/>
    <w:rsid w:val="00A80295"/>
    <w:rsid w:val="00A811A2"/>
    <w:rsid w:val="00A8790D"/>
    <w:rsid w:val="00A90F5F"/>
    <w:rsid w:val="00A91483"/>
    <w:rsid w:val="00A9565C"/>
    <w:rsid w:val="00A96A48"/>
    <w:rsid w:val="00AA1EA1"/>
    <w:rsid w:val="00AA3F36"/>
    <w:rsid w:val="00AA6211"/>
    <w:rsid w:val="00AB195A"/>
    <w:rsid w:val="00AB2FC5"/>
    <w:rsid w:val="00AB5D2A"/>
    <w:rsid w:val="00AC30AB"/>
    <w:rsid w:val="00AD19FE"/>
    <w:rsid w:val="00AD1A00"/>
    <w:rsid w:val="00AD298B"/>
    <w:rsid w:val="00AD2C03"/>
    <w:rsid w:val="00AD5A05"/>
    <w:rsid w:val="00AD7BE2"/>
    <w:rsid w:val="00AD7F6A"/>
    <w:rsid w:val="00AE0C59"/>
    <w:rsid w:val="00AF43FD"/>
    <w:rsid w:val="00AF6F67"/>
    <w:rsid w:val="00B009C8"/>
    <w:rsid w:val="00B03021"/>
    <w:rsid w:val="00B07F76"/>
    <w:rsid w:val="00B1054B"/>
    <w:rsid w:val="00B1064A"/>
    <w:rsid w:val="00B145B5"/>
    <w:rsid w:val="00B1716E"/>
    <w:rsid w:val="00B20AAE"/>
    <w:rsid w:val="00B243AE"/>
    <w:rsid w:val="00B2559B"/>
    <w:rsid w:val="00B30F60"/>
    <w:rsid w:val="00B3366F"/>
    <w:rsid w:val="00B34414"/>
    <w:rsid w:val="00B37091"/>
    <w:rsid w:val="00B40421"/>
    <w:rsid w:val="00B42D1C"/>
    <w:rsid w:val="00B434A8"/>
    <w:rsid w:val="00B447A4"/>
    <w:rsid w:val="00B4594B"/>
    <w:rsid w:val="00B52115"/>
    <w:rsid w:val="00B52A7F"/>
    <w:rsid w:val="00B54D99"/>
    <w:rsid w:val="00B5523F"/>
    <w:rsid w:val="00B67191"/>
    <w:rsid w:val="00B71BF7"/>
    <w:rsid w:val="00B743B8"/>
    <w:rsid w:val="00B74F8A"/>
    <w:rsid w:val="00B81F2A"/>
    <w:rsid w:val="00B84590"/>
    <w:rsid w:val="00B85164"/>
    <w:rsid w:val="00B8673A"/>
    <w:rsid w:val="00B87C0F"/>
    <w:rsid w:val="00B90B61"/>
    <w:rsid w:val="00B921E4"/>
    <w:rsid w:val="00B92E87"/>
    <w:rsid w:val="00B95B8B"/>
    <w:rsid w:val="00BA19DA"/>
    <w:rsid w:val="00BA2A7E"/>
    <w:rsid w:val="00BA2DB7"/>
    <w:rsid w:val="00BA52AD"/>
    <w:rsid w:val="00BA569F"/>
    <w:rsid w:val="00BA7C36"/>
    <w:rsid w:val="00BA7F8B"/>
    <w:rsid w:val="00BB07EB"/>
    <w:rsid w:val="00BB0A7A"/>
    <w:rsid w:val="00BB22F3"/>
    <w:rsid w:val="00BB2412"/>
    <w:rsid w:val="00BB55A7"/>
    <w:rsid w:val="00BB5C6B"/>
    <w:rsid w:val="00BB6F94"/>
    <w:rsid w:val="00BC3060"/>
    <w:rsid w:val="00BC33AE"/>
    <w:rsid w:val="00BC7754"/>
    <w:rsid w:val="00BD2869"/>
    <w:rsid w:val="00BD374E"/>
    <w:rsid w:val="00BD4A75"/>
    <w:rsid w:val="00BD5A60"/>
    <w:rsid w:val="00BD7928"/>
    <w:rsid w:val="00BE0076"/>
    <w:rsid w:val="00BE31AA"/>
    <w:rsid w:val="00BE3753"/>
    <w:rsid w:val="00BE3B7C"/>
    <w:rsid w:val="00BE46F4"/>
    <w:rsid w:val="00BF18E1"/>
    <w:rsid w:val="00BF7D96"/>
    <w:rsid w:val="00C01003"/>
    <w:rsid w:val="00C01A83"/>
    <w:rsid w:val="00C06B15"/>
    <w:rsid w:val="00C10ACB"/>
    <w:rsid w:val="00C12BC4"/>
    <w:rsid w:val="00C2410B"/>
    <w:rsid w:val="00C24789"/>
    <w:rsid w:val="00C26396"/>
    <w:rsid w:val="00C27610"/>
    <w:rsid w:val="00C3509B"/>
    <w:rsid w:val="00C3545C"/>
    <w:rsid w:val="00C37E73"/>
    <w:rsid w:val="00C43CF7"/>
    <w:rsid w:val="00C463EB"/>
    <w:rsid w:val="00C47B54"/>
    <w:rsid w:val="00C50822"/>
    <w:rsid w:val="00C568DC"/>
    <w:rsid w:val="00C574C0"/>
    <w:rsid w:val="00C60143"/>
    <w:rsid w:val="00C608CF"/>
    <w:rsid w:val="00C60A24"/>
    <w:rsid w:val="00C62332"/>
    <w:rsid w:val="00C63521"/>
    <w:rsid w:val="00C66686"/>
    <w:rsid w:val="00C73B0C"/>
    <w:rsid w:val="00C74089"/>
    <w:rsid w:val="00C7453A"/>
    <w:rsid w:val="00C74F07"/>
    <w:rsid w:val="00C764AE"/>
    <w:rsid w:val="00C77101"/>
    <w:rsid w:val="00C80C5E"/>
    <w:rsid w:val="00C8247C"/>
    <w:rsid w:val="00C83562"/>
    <w:rsid w:val="00C85737"/>
    <w:rsid w:val="00C93C8F"/>
    <w:rsid w:val="00C95091"/>
    <w:rsid w:val="00C962DB"/>
    <w:rsid w:val="00C97B8B"/>
    <w:rsid w:val="00CA3784"/>
    <w:rsid w:val="00CA6D99"/>
    <w:rsid w:val="00CA7285"/>
    <w:rsid w:val="00CB0DC0"/>
    <w:rsid w:val="00CB1327"/>
    <w:rsid w:val="00CB2C52"/>
    <w:rsid w:val="00CB3BED"/>
    <w:rsid w:val="00CB3F79"/>
    <w:rsid w:val="00CC3B69"/>
    <w:rsid w:val="00CC3C0E"/>
    <w:rsid w:val="00CC4A5F"/>
    <w:rsid w:val="00CC73C5"/>
    <w:rsid w:val="00CD35F2"/>
    <w:rsid w:val="00CD3C86"/>
    <w:rsid w:val="00CD402F"/>
    <w:rsid w:val="00CD63D7"/>
    <w:rsid w:val="00CD6933"/>
    <w:rsid w:val="00CD73C2"/>
    <w:rsid w:val="00CD7B80"/>
    <w:rsid w:val="00CD7E05"/>
    <w:rsid w:val="00CE05C0"/>
    <w:rsid w:val="00CE4C3E"/>
    <w:rsid w:val="00CE52BB"/>
    <w:rsid w:val="00CE7979"/>
    <w:rsid w:val="00CE7A9F"/>
    <w:rsid w:val="00CE7CB4"/>
    <w:rsid w:val="00CE7DCF"/>
    <w:rsid w:val="00CF4712"/>
    <w:rsid w:val="00CF608F"/>
    <w:rsid w:val="00CF633A"/>
    <w:rsid w:val="00D02082"/>
    <w:rsid w:val="00D02C3D"/>
    <w:rsid w:val="00D07D43"/>
    <w:rsid w:val="00D11CB0"/>
    <w:rsid w:val="00D1255B"/>
    <w:rsid w:val="00D133C4"/>
    <w:rsid w:val="00D1618B"/>
    <w:rsid w:val="00D17291"/>
    <w:rsid w:val="00D177C7"/>
    <w:rsid w:val="00D22AB7"/>
    <w:rsid w:val="00D24C6C"/>
    <w:rsid w:val="00D268E5"/>
    <w:rsid w:val="00D3620D"/>
    <w:rsid w:val="00D36B10"/>
    <w:rsid w:val="00D36C9E"/>
    <w:rsid w:val="00D41A4C"/>
    <w:rsid w:val="00D41F0C"/>
    <w:rsid w:val="00D4393C"/>
    <w:rsid w:val="00D444F1"/>
    <w:rsid w:val="00D464C2"/>
    <w:rsid w:val="00D542CD"/>
    <w:rsid w:val="00D5692C"/>
    <w:rsid w:val="00D62B78"/>
    <w:rsid w:val="00D7053D"/>
    <w:rsid w:val="00D73F1E"/>
    <w:rsid w:val="00D740B1"/>
    <w:rsid w:val="00D77F82"/>
    <w:rsid w:val="00D8446C"/>
    <w:rsid w:val="00D84713"/>
    <w:rsid w:val="00D855B6"/>
    <w:rsid w:val="00D860D7"/>
    <w:rsid w:val="00D86A9C"/>
    <w:rsid w:val="00D932BB"/>
    <w:rsid w:val="00D93604"/>
    <w:rsid w:val="00D9739A"/>
    <w:rsid w:val="00DA04C7"/>
    <w:rsid w:val="00DA11D2"/>
    <w:rsid w:val="00DA5CAD"/>
    <w:rsid w:val="00DB14E7"/>
    <w:rsid w:val="00DB3680"/>
    <w:rsid w:val="00DB475E"/>
    <w:rsid w:val="00DB7D65"/>
    <w:rsid w:val="00DC1075"/>
    <w:rsid w:val="00DC663A"/>
    <w:rsid w:val="00DD13D2"/>
    <w:rsid w:val="00DD5468"/>
    <w:rsid w:val="00DD697F"/>
    <w:rsid w:val="00DE1A8D"/>
    <w:rsid w:val="00DE23D6"/>
    <w:rsid w:val="00DE4EB1"/>
    <w:rsid w:val="00DF0277"/>
    <w:rsid w:val="00DF4A2E"/>
    <w:rsid w:val="00DF5D20"/>
    <w:rsid w:val="00DF6C3B"/>
    <w:rsid w:val="00DF7784"/>
    <w:rsid w:val="00E044DC"/>
    <w:rsid w:val="00E045B8"/>
    <w:rsid w:val="00E064DF"/>
    <w:rsid w:val="00E070F7"/>
    <w:rsid w:val="00E15461"/>
    <w:rsid w:val="00E2189A"/>
    <w:rsid w:val="00E23D52"/>
    <w:rsid w:val="00E26D28"/>
    <w:rsid w:val="00E27331"/>
    <w:rsid w:val="00E30B7A"/>
    <w:rsid w:val="00E3257F"/>
    <w:rsid w:val="00E32EBD"/>
    <w:rsid w:val="00E33D9D"/>
    <w:rsid w:val="00E35DE8"/>
    <w:rsid w:val="00E36961"/>
    <w:rsid w:val="00E4362F"/>
    <w:rsid w:val="00E55C55"/>
    <w:rsid w:val="00E610A1"/>
    <w:rsid w:val="00E61C3A"/>
    <w:rsid w:val="00E669FE"/>
    <w:rsid w:val="00E66FA8"/>
    <w:rsid w:val="00E677AB"/>
    <w:rsid w:val="00E70AED"/>
    <w:rsid w:val="00E71799"/>
    <w:rsid w:val="00E72017"/>
    <w:rsid w:val="00E72CD5"/>
    <w:rsid w:val="00E850EB"/>
    <w:rsid w:val="00E92443"/>
    <w:rsid w:val="00E92798"/>
    <w:rsid w:val="00E93C24"/>
    <w:rsid w:val="00E97C6B"/>
    <w:rsid w:val="00EA24E3"/>
    <w:rsid w:val="00EB11A8"/>
    <w:rsid w:val="00EB324B"/>
    <w:rsid w:val="00EB3634"/>
    <w:rsid w:val="00EB4824"/>
    <w:rsid w:val="00EB596F"/>
    <w:rsid w:val="00EC1861"/>
    <w:rsid w:val="00EC1C77"/>
    <w:rsid w:val="00EC3316"/>
    <w:rsid w:val="00EC3EC6"/>
    <w:rsid w:val="00ED10A9"/>
    <w:rsid w:val="00ED1ACE"/>
    <w:rsid w:val="00ED1D8F"/>
    <w:rsid w:val="00ED2C49"/>
    <w:rsid w:val="00ED4E56"/>
    <w:rsid w:val="00EE2031"/>
    <w:rsid w:val="00EE39D9"/>
    <w:rsid w:val="00EE3DC8"/>
    <w:rsid w:val="00EE3E73"/>
    <w:rsid w:val="00EE49C6"/>
    <w:rsid w:val="00EE5B43"/>
    <w:rsid w:val="00EF1623"/>
    <w:rsid w:val="00EF192F"/>
    <w:rsid w:val="00F00992"/>
    <w:rsid w:val="00F04191"/>
    <w:rsid w:val="00F06797"/>
    <w:rsid w:val="00F06E91"/>
    <w:rsid w:val="00F07677"/>
    <w:rsid w:val="00F14A36"/>
    <w:rsid w:val="00F20973"/>
    <w:rsid w:val="00F20FE3"/>
    <w:rsid w:val="00F212C6"/>
    <w:rsid w:val="00F24F6C"/>
    <w:rsid w:val="00F26BC9"/>
    <w:rsid w:val="00F32A23"/>
    <w:rsid w:val="00F33BEA"/>
    <w:rsid w:val="00F34421"/>
    <w:rsid w:val="00F37064"/>
    <w:rsid w:val="00F52535"/>
    <w:rsid w:val="00F5477C"/>
    <w:rsid w:val="00F57243"/>
    <w:rsid w:val="00F57C87"/>
    <w:rsid w:val="00F62CC2"/>
    <w:rsid w:val="00F645EB"/>
    <w:rsid w:val="00F67166"/>
    <w:rsid w:val="00F70458"/>
    <w:rsid w:val="00F772C1"/>
    <w:rsid w:val="00F84C4E"/>
    <w:rsid w:val="00F90EF0"/>
    <w:rsid w:val="00F961ED"/>
    <w:rsid w:val="00FA0AEE"/>
    <w:rsid w:val="00FA3ABD"/>
    <w:rsid w:val="00FA3B09"/>
    <w:rsid w:val="00FA5CCF"/>
    <w:rsid w:val="00FA6799"/>
    <w:rsid w:val="00FB5EA8"/>
    <w:rsid w:val="00FB7882"/>
    <w:rsid w:val="00FC03A8"/>
    <w:rsid w:val="00FC24D6"/>
    <w:rsid w:val="00FC2B19"/>
    <w:rsid w:val="00FC707C"/>
    <w:rsid w:val="00FC77A6"/>
    <w:rsid w:val="00FD19CC"/>
    <w:rsid w:val="00FD23DF"/>
    <w:rsid w:val="00FD3780"/>
    <w:rsid w:val="00FD472F"/>
    <w:rsid w:val="00FD6E49"/>
    <w:rsid w:val="00FE2DC9"/>
    <w:rsid w:val="00FE400F"/>
    <w:rsid w:val="00FE66E5"/>
    <w:rsid w:val="00FE6C2F"/>
    <w:rsid w:val="00FF060D"/>
    <w:rsid w:val="00FF557A"/>
    <w:rsid w:val="00FF7DD5"/>
    <w:rsid w:val="017152D2"/>
    <w:rsid w:val="036516EA"/>
    <w:rsid w:val="0CF94C62"/>
    <w:rsid w:val="113C12E5"/>
    <w:rsid w:val="22CCE703"/>
    <w:rsid w:val="3AFE45F3"/>
    <w:rsid w:val="4813BF9E"/>
    <w:rsid w:val="4EE52420"/>
    <w:rsid w:val="5B332EC9"/>
    <w:rsid w:val="6532FB9B"/>
    <w:rsid w:val="6B11552A"/>
    <w:rsid w:val="6F0B41FA"/>
    <w:rsid w:val="724DA614"/>
    <w:rsid w:val="76C71750"/>
    <w:rsid w:val="7B531A6E"/>
    <w:rsid w:val="7F9F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4286"/>
  <w15:chartTrackingRefBased/>
  <w15:docId w15:val="{47C44AAF-CF6F-45E9-B6F4-0A60AEE6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2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22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2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2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22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4C"/>
    <w:rPr>
      <w:rFonts w:eastAsiaTheme="majorEastAsia" w:cstheme="majorBidi"/>
      <w:color w:val="272727" w:themeColor="text1" w:themeTint="D8"/>
    </w:rPr>
  </w:style>
  <w:style w:type="paragraph" w:styleId="Title">
    <w:name w:val="Title"/>
    <w:basedOn w:val="Normal"/>
    <w:next w:val="Normal"/>
    <w:link w:val="TitleChar"/>
    <w:uiPriority w:val="10"/>
    <w:qFormat/>
    <w:rsid w:val="00A22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4C"/>
    <w:pPr>
      <w:spacing w:before="160"/>
      <w:jc w:val="center"/>
    </w:pPr>
    <w:rPr>
      <w:i/>
      <w:iCs/>
      <w:color w:val="404040" w:themeColor="text1" w:themeTint="BF"/>
    </w:rPr>
  </w:style>
  <w:style w:type="character" w:customStyle="1" w:styleId="QuoteChar">
    <w:name w:val="Quote Char"/>
    <w:basedOn w:val="DefaultParagraphFont"/>
    <w:link w:val="Quote"/>
    <w:uiPriority w:val="29"/>
    <w:rsid w:val="00A2274C"/>
    <w:rPr>
      <w:i/>
      <w:iCs/>
      <w:color w:val="404040" w:themeColor="text1" w:themeTint="BF"/>
    </w:rPr>
  </w:style>
  <w:style w:type="paragraph" w:styleId="ListParagraph">
    <w:name w:val="List Paragraph"/>
    <w:basedOn w:val="Normal"/>
    <w:uiPriority w:val="34"/>
    <w:qFormat/>
    <w:rsid w:val="00A2274C"/>
    <w:pPr>
      <w:ind w:left="720"/>
      <w:contextualSpacing/>
    </w:pPr>
  </w:style>
  <w:style w:type="character" w:styleId="IntenseEmphasis">
    <w:name w:val="Intense Emphasis"/>
    <w:basedOn w:val="DefaultParagraphFont"/>
    <w:uiPriority w:val="21"/>
    <w:qFormat/>
    <w:rsid w:val="00A2274C"/>
    <w:rPr>
      <w:i/>
      <w:iCs/>
      <w:color w:val="0F4761" w:themeColor="accent1" w:themeShade="BF"/>
    </w:rPr>
  </w:style>
  <w:style w:type="paragraph" w:styleId="IntenseQuote">
    <w:name w:val="Intense Quote"/>
    <w:basedOn w:val="Normal"/>
    <w:next w:val="Normal"/>
    <w:link w:val="IntenseQuoteChar"/>
    <w:uiPriority w:val="30"/>
    <w:qFormat/>
    <w:rsid w:val="00A22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74C"/>
    <w:rPr>
      <w:i/>
      <w:iCs/>
      <w:color w:val="0F4761" w:themeColor="accent1" w:themeShade="BF"/>
    </w:rPr>
  </w:style>
  <w:style w:type="character" w:styleId="IntenseReference">
    <w:name w:val="Intense Reference"/>
    <w:basedOn w:val="DefaultParagraphFont"/>
    <w:uiPriority w:val="32"/>
    <w:qFormat/>
    <w:rsid w:val="00A2274C"/>
    <w:rPr>
      <w:b/>
      <w:bCs/>
      <w:smallCaps/>
      <w:color w:val="0F4761" w:themeColor="accent1" w:themeShade="BF"/>
      <w:spacing w:val="5"/>
    </w:rPr>
  </w:style>
  <w:style w:type="numbering" w:customStyle="1" w:styleId="CurrentList1">
    <w:name w:val="Current List1"/>
    <w:uiPriority w:val="99"/>
    <w:rsid w:val="00BB2412"/>
    <w:pPr>
      <w:numPr>
        <w:numId w:val="3"/>
      </w:numPr>
    </w:pPr>
  </w:style>
  <w:style w:type="numbering" w:customStyle="1" w:styleId="CurrentList2">
    <w:name w:val="Current List2"/>
    <w:uiPriority w:val="99"/>
    <w:rsid w:val="00E61C3A"/>
    <w:pPr>
      <w:numPr>
        <w:numId w:val="4"/>
      </w:numPr>
    </w:pPr>
  </w:style>
  <w:style w:type="character" w:styleId="CommentReference">
    <w:name w:val="annotation reference"/>
    <w:basedOn w:val="DefaultParagraphFont"/>
    <w:uiPriority w:val="99"/>
    <w:semiHidden/>
    <w:unhideWhenUsed/>
    <w:rsid w:val="003B74CB"/>
    <w:rPr>
      <w:sz w:val="16"/>
      <w:szCs w:val="16"/>
    </w:rPr>
  </w:style>
  <w:style w:type="paragraph" w:styleId="CommentText">
    <w:name w:val="annotation text"/>
    <w:basedOn w:val="Normal"/>
    <w:link w:val="CommentTextChar"/>
    <w:uiPriority w:val="99"/>
    <w:semiHidden/>
    <w:unhideWhenUsed/>
    <w:rsid w:val="003B74CB"/>
    <w:pPr>
      <w:spacing w:line="240" w:lineRule="auto"/>
    </w:pPr>
    <w:rPr>
      <w:sz w:val="20"/>
      <w:szCs w:val="20"/>
    </w:rPr>
  </w:style>
  <w:style w:type="character" w:customStyle="1" w:styleId="CommentTextChar">
    <w:name w:val="Comment Text Char"/>
    <w:basedOn w:val="DefaultParagraphFont"/>
    <w:link w:val="CommentText"/>
    <w:uiPriority w:val="99"/>
    <w:semiHidden/>
    <w:rsid w:val="003B74CB"/>
    <w:rPr>
      <w:sz w:val="20"/>
      <w:szCs w:val="20"/>
    </w:rPr>
  </w:style>
  <w:style w:type="paragraph" w:styleId="CommentSubject">
    <w:name w:val="annotation subject"/>
    <w:basedOn w:val="CommentText"/>
    <w:next w:val="CommentText"/>
    <w:link w:val="CommentSubjectChar"/>
    <w:uiPriority w:val="99"/>
    <w:semiHidden/>
    <w:unhideWhenUsed/>
    <w:rsid w:val="003B74CB"/>
    <w:rPr>
      <w:b/>
      <w:bCs/>
    </w:rPr>
  </w:style>
  <w:style w:type="character" w:customStyle="1" w:styleId="CommentSubjectChar">
    <w:name w:val="Comment Subject Char"/>
    <w:basedOn w:val="CommentTextChar"/>
    <w:link w:val="CommentSubject"/>
    <w:uiPriority w:val="99"/>
    <w:semiHidden/>
    <w:rsid w:val="003B74CB"/>
    <w:rPr>
      <w:b/>
      <w:bCs/>
      <w:sz w:val="20"/>
      <w:szCs w:val="20"/>
    </w:rPr>
  </w:style>
  <w:style w:type="table" w:styleId="TableGrid">
    <w:name w:val="Table Grid"/>
    <w:basedOn w:val="TableNormal"/>
    <w:uiPriority w:val="39"/>
    <w:rsid w:val="003D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3AFE45F3"/>
    <w:pPr>
      <w:tabs>
        <w:tab w:val="center" w:pos="4680"/>
        <w:tab w:val="right" w:pos="9360"/>
      </w:tabs>
      <w:spacing w:after="0" w:line="240" w:lineRule="auto"/>
    </w:pPr>
  </w:style>
  <w:style w:type="paragraph" w:styleId="Footer">
    <w:name w:val="footer"/>
    <w:basedOn w:val="Normal"/>
    <w:uiPriority w:val="99"/>
    <w:unhideWhenUsed/>
    <w:rsid w:val="3AFE45F3"/>
    <w:pPr>
      <w:tabs>
        <w:tab w:val="center" w:pos="4680"/>
        <w:tab w:val="right" w:pos="9360"/>
      </w:tabs>
      <w:spacing w:after="0" w:line="240" w:lineRule="auto"/>
    </w:pPr>
  </w:style>
  <w:style w:type="paragraph" w:styleId="Caption">
    <w:name w:val="caption"/>
    <w:basedOn w:val="Normal"/>
    <w:next w:val="Normal"/>
    <w:uiPriority w:val="35"/>
    <w:unhideWhenUsed/>
    <w:qFormat/>
    <w:rsid w:val="004802C8"/>
    <w:pPr>
      <w:spacing w:after="200" w:line="240" w:lineRule="auto"/>
    </w:pPr>
    <w:rPr>
      <w:i/>
      <w:iCs/>
      <w:color w:val="0E2841" w:themeColor="text2"/>
      <w:sz w:val="18"/>
      <w:szCs w:val="18"/>
    </w:rPr>
  </w:style>
  <w:style w:type="character" w:styleId="PageNumber">
    <w:name w:val="page number"/>
    <w:basedOn w:val="DefaultParagraphFont"/>
    <w:uiPriority w:val="99"/>
    <w:semiHidden/>
    <w:unhideWhenUsed/>
    <w:rsid w:val="008F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4 xmlns="9033de13-fd7a-4061-b208-134d2440ed20" xsi:nil="true"/>
    <LSTag2 xmlns="9033de13-fd7a-4061-b208-134d2440ed20" xsi:nil="true"/>
    <LSTag1 xmlns="9033de13-fd7a-4061-b208-134d2440ed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2074F-8649-4EF2-9823-3BE4A53B7ECE}">
  <ds:schemaRefs>
    <ds:schemaRef ds:uri="http://schemas.microsoft.com/office/2006/metadata/properties"/>
    <ds:schemaRef ds:uri="http://schemas.microsoft.com/office/infopath/2007/PartnerControls"/>
    <ds:schemaRef ds:uri="9033de13-fd7a-4061-b208-134d2440ed20"/>
  </ds:schemaRefs>
</ds:datastoreItem>
</file>

<file path=customXml/itemProps2.xml><?xml version="1.0" encoding="utf-8"?>
<ds:datastoreItem xmlns:ds="http://schemas.openxmlformats.org/officeDocument/2006/customXml" ds:itemID="{52BA86B9-F176-4BC1-B3CC-324F55DF5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EDF0F-C4EB-4031-A031-9220A2FB5300}">
  <ds:schemaRefs>
    <ds:schemaRef ds:uri="http://schemas.openxmlformats.org/officeDocument/2006/bibliography"/>
  </ds:schemaRefs>
</ds:datastoreItem>
</file>

<file path=customXml/itemProps4.xml><?xml version="1.0" encoding="utf-8"?>
<ds:datastoreItem xmlns:ds="http://schemas.openxmlformats.org/officeDocument/2006/customXml" ds:itemID="{3ABFFDE3-E215-43BA-BE59-3634F214A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7350</Words>
  <Characters>33300</Characters>
  <Application>Microsoft Office Word</Application>
  <DocSecurity>0</DocSecurity>
  <Lines>900</Lines>
  <Paragraphs>923</Paragraphs>
  <ScaleCrop>false</ScaleCrop>
  <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11</cp:revision>
  <dcterms:created xsi:type="dcterms:W3CDTF">2026-02-11T14:34:00Z</dcterms:created>
  <dcterms:modified xsi:type="dcterms:W3CDTF">2026-04-23T19:33:00Z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y fmtid="{D5CDD505-2E9C-101B-9397-08002B2CF9AE}" pid="3" name="MediaServiceImageTags">
    <vt:lpwstr/>
  </property>
</Properties>
</file>